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65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  <w:highlight w:val="none"/>
        </w:rPr>
        <w:suppressLineNumbers/>
      </w:pPr>
      <w:r>
        <w:rPr>
          <w:sz w:val="22"/>
          <w:szCs w:val="22"/>
        </w:rPr>
        <w:t xml:space="preserve">                                      </w:t>
      </w:r>
      <w:r>
        <w:rPr>
          <w:sz w:val="22"/>
          <w:szCs w:val="22"/>
        </w:rPr>
        <w:t xml:space="preserve">                 </w:t>
      </w:r>
      <w:r>
        <w:rPr>
          <w:rFonts w:ascii="Tinos" w:hAnsi="Tinos" w:eastAsia="Tinos" w:cs="Tinos"/>
          <w:sz w:val="22"/>
          <w:szCs w:val="22"/>
        </w:rPr>
        <w:t xml:space="preserve">   </w:t>
      </w:r>
      <w:r>
        <w:rPr>
          <w:rFonts w:ascii="Tinos" w:hAnsi="Tinos" w:cs="Tinos"/>
          <w:sz w:val="22"/>
          <w:szCs w:val="22"/>
          <w:highlight w:val="none"/>
        </w:rPr>
      </w:r>
      <w:r>
        <w:rPr>
          <w:rFonts w:ascii="Tinos" w:hAnsi="Tinos" w:cs="Tinos"/>
          <w:sz w:val="22"/>
          <w:szCs w:val="22"/>
          <w:highlight w:val="none"/>
        </w:rPr>
      </w:r>
    </w:p>
    <w:p>
      <w:pPr>
        <w:pStyle w:val="1065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5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cs="Tinos"/>
          <w:sz w:val="22"/>
          <w:szCs w:val="22"/>
          <w:highlight w:val="none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5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                       </w:t>
      </w:r>
      <w:r>
        <w:rPr>
          <w:rFonts w:ascii="Tinos" w:hAnsi="Tinos" w:eastAsia="Tinos" w:cs="Tinos"/>
          <w:sz w:val="22"/>
          <w:szCs w:val="22"/>
        </w:rPr>
        <w:t xml:space="preserve">             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 ПРОЕКТ ДОГОВОРА ПОСТАВКИ ПРОДУКЦИИ №_______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г. Кызыл                      </w:t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  <w:t xml:space="preserve">                                            «___»</w:t>
      </w:r>
      <w:r>
        <w:rPr>
          <w:rFonts w:ascii="Tinos" w:hAnsi="Tinos" w:eastAsia="Tinos" w:cs="Tinos"/>
          <w:sz w:val="22"/>
          <w:szCs w:val="22"/>
        </w:rPr>
        <w:t xml:space="preserve">__________20__ г.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АО «</w:t>
      </w:r>
      <w:r>
        <w:rPr>
          <w:rFonts w:ascii="Tinos" w:hAnsi="Tinos" w:eastAsia="Tinos" w:cs="Tinos"/>
          <w:sz w:val="22"/>
          <w:szCs w:val="22"/>
        </w:rPr>
        <w:t xml:space="preserve">Россети</w:t>
      </w:r>
      <w:r>
        <w:rPr>
          <w:rFonts w:ascii="Tinos" w:hAnsi="Tinos" w:eastAsia="Tinos" w:cs="Tinos"/>
          <w:sz w:val="22"/>
          <w:szCs w:val="22"/>
        </w:rPr>
        <w:t xml:space="preserve"> Сибирь </w:t>
      </w:r>
      <w:r>
        <w:rPr>
          <w:rFonts w:ascii="Tinos" w:hAnsi="Tinos" w:eastAsia="Tinos" w:cs="Tinos"/>
          <w:sz w:val="22"/>
          <w:szCs w:val="22"/>
        </w:rPr>
        <w:t xml:space="preserve">Тываэнерго</w:t>
      </w:r>
      <w:r>
        <w:rPr>
          <w:rFonts w:ascii="Tinos" w:hAnsi="Tinos" w:eastAsia="Tinos" w:cs="Tinos"/>
          <w:sz w:val="22"/>
          <w:szCs w:val="22"/>
        </w:rPr>
        <w:t xml:space="preserve">», именуемое в дальнейшем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«Покупатель», </w:t>
      </w:r>
      <w:r>
        <w:rPr>
          <w:rFonts w:ascii="Tinos" w:hAnsi="Tinos" w:eastAsia="Tinos" w:cs="Tinos"/>
          <w:sz w:val="22"/>
          <w:szCs w:val="22"/>
        </w:rPr>
        <w:t xml:space="preserve">в лице и.о. управляющего директора – первого заместителя генерального директора Таранкова Алексея Игоревича, действующего на основании Доверенности </w:t>
      </w:r>
      <w:r>
        <w:rPr>
          <w:rFonts w:ascii="Tinos" w:hAnsi="Tinos" w:eastAsia="Tinos" w:cs="Tinos"/>
          <w:bCs/>
          <w:sz w:val="22"/>
          <w:szCs w:val="22"/>
        </w:rPr>
        <w:t xml:space="preserve">№ 00/152/101 от 07.10.2025 г.</w:t>
      </w:r>
      <w:r>
        <w:rPr>
          <w:rFonts w:ascii="Tinos" w:hAnsi="Tinos" w:eastAsia="Tinos" w:cs="Tinos"/>
          <w:sz w:val="22"/>
          <w:szCs w:val="22"/>
        </w:rPr>
        <w:t xml:space="preserve"> с одной стороны; и , _______, именуемый в дальнейшем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«Поставщик»</w:t>
      </w:r>
      <w:r>
        <w:rPr>
          <w:rFonts w:ascii="Tinos" w:hAnsi="Tinos" w:eastAsia="Tinos" w:cs="Tinos"/>
          <w:sz w:val="22"/>
          <w:szCs w:val="22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</w:t>
      </w:r>
      <w:r>
        <w:rPr>
          <w:rFonts w:ascii="Tinos" w:hAnsi="Tinos" w:eastAsia="Tinos" w:cs="Tinos"/>
          <w:sz w:val="22"/>
          <w:szCs w:val="22"/>
        </w:rPr>
        <w:t xml:space="preserve">астоящий Договор о нижеследующем: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420" w:leader="none"/>
          <w:tab w:val="left" w:pos="567" w:leader="none"/>
          <w:tab w:val="clear" w:pos="7023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Предмет Договора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4"/>
        </w:numPr>
        <w:ind w:left="0" w:firstLine="0"/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соответствии с настоящим Договором Поставщик обязуется поставить Покупателю: канцелярские </w:t>
      </w:r>
      <w:r>
        <w:rPr>
          <w:rFonts w:ascii="Tinos" w:hAnsi="Tinos" w:eastAsia="Tinos" w:cs="Tinos"/>
          <w:sz w:val="22"/>
          <w:szCs w:val="22"/>
        </w:rPr>
        <w:t xml:space="preserve">товары </w:t>
      </w:r>
      <w:r>
        <w:rPr>
          <w:rFonts w:ascii="Tinos" w:hAnsi="Tinos" w:eastAsia="Tinos" w:cs="Tinos"/>
          <w:sz w:val="22"/>
          <w:szCs w:val="22"/>
        </w:rPr>
        <w:t xml:space="preserve">(далее Продукция) в ассортименте</w:t>
      </w:r>
      <w:r>
        <w:rPr>
          <w:rFonts w:ascii="Tinos" w:hAnsi="Tinos" w:eastAsia="Tinos" w:cs="Tinos"/>
          <w:sz w:val="22"/>
          <w:szCs w:val="22"/>
        </w:rPr>
        <w:t xml:space="preserve">, количестве</w:t>
      </w:r>
      <w:r>
        <w:rPr>
          <w:rFonts w:ascii="Tinos" w:hAnsi="Tinos" w:eastAsia="Tinos" w:cs="Tinos"/>
          <w:sz w:val="22"/>
          <w:szCs w:val="22"/>
        </w:rPr>
        <w:t xml:space="preserve">,</w:t>
      </w:r>
      <w:r>
        <w:rPr>
          <w:rFonts w:ascii="Tinos" w:hAnsi="Tinos" w:eastAsia="Tinos" w:cs="Tinos"/>
          <w:sz w:val="22"/>
          <w:szCs w:val="22"/>
        </w:rPr>
        <w:t xml:space="preserve"> качестве, в сроки и по ценам, оговоренным Сторонами в Специф</w:t>
      </w:r>
      <w:r>
        <w:rPr>
          <w:rFonts w:ascii="Tinos" w:hAnsi="Tinos" w:eastAsia="Tinos" w:cs="Tinos"/>
          <w:sz w:val="22"/>
          <w:szCs w:val="22"/>
        </w:rPr>
        <w:t xml:space="preserve">икации (Приложение № 1) и Заявках на поставку товара (по форме Приложения № 4), являющихся неотъемлемой частью настоящего Договора поставки.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ind w:left="0" w:firstLine="0"/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b/>
          <w:bCs/>
          <w:sz w:val="22"/>
          <w:szCs w:val="22"/>
        </w:rPr>
        <w:suppressLineNumbers/>
      </w:pPr>
      <w:r>
        <w:rPr>
          <w:rFonts w:ascii="Tinos" w:hAnsi="Tinos" w:cs="Tinos"/>
          <w:b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</w:rPr>
        <w:t xml:space="preserve">Характеристики, требования и комплектация</w:t>
      </w:r>
      <w:r>
        <w:rPr>
          <w:rFonts w:ascii="Tinos" w:hAnsi="Tinos" w:eastAsia="Tinos" w:cs="Tinos"/>
          <w:sz w:val="22"/>
          <w:szCs w:val="22"/>
        </w:rPr>
        <w:t xml:space="preserve"> к поставляемой Продукции представлены в Приложении № 1 к настоящему Договору поставки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pStyle w:val="1068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420" w:leader="none"/>
          <w:tab w:val="left" w:pos="567" w:leader="none"/>
          <w:tab w:val="clear" w:pos="7023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Цена и порядок расчётов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72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left" w:pos="142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Цена на</w:t>
      </w:r>
      <w:r>
        <w:rPr>
          <w:rFonts w:ascii="Tinos" w:hAnsi="Tinos" w:eastAsia="Tinos" w:cs="Tinos"/>
          <w:sz w:val="22"/>
          <w:szCs w:val="22"/>
        </w:rPr>
        <w:t xml:space="preserve">стоящего Договора</w:t>
      </w:r>
      <w:r>
        <w:rPr>
          <w:rFonts w:ascii="Tinos" w:hAnsi="Tinos" w:eastAsia="Tinos" w:cs="Tinos"/>
          <w:sz w:val="22"/>
          <w:szCs w:val="22"/>
        </w:rPr>
        <w:t xml:space="preserve"> без НДС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составляет</w:t>
      </w:r>
      <w:r>
        <w:rPr>
          <w:rFonts w:ascii="Tinos" w:hAnsi="Tinos" w:eastAsia="Tinos" w:cs="Tinos"/>
          <w:sz w:val="22"/>
          <w:szCs w:val="22"/>
        </w:rPr>
        <w:t xml:space="preserve">: </w:t>
      </w:r>
      <w:r>
        <w:rPr>
          <w:rFonts w:ascii="Tinos" w:hAnsi="Tinos" w:eastAsia="Tinos" w:cs="Tinos"/>
          <w:sz w:val="22"/>
          <w:szCs w:val="22"/>
          <w:lang w:val="en-US"/>
        </w:rPr>
        <w:t xml:space="preserve">___</w:t>
      </w:r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(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)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рублей</w:t>
      </w:r>
      <w:r>
        <w:rPr>
          <w:rFonts w:ascii="Tinos" w:hAnsi="Tinos" w:eastAsia="Tinos" w:cs="Tinos"/>
          <w:sz w:val="22"/>
          <w:szCs w:val="22"/>
        </w:rPr>
        <w:t xml:space="preserve">,</w:t>
      </w:r>
      <w:r>
        <w:rPr>
          <w:rFonts w:ascii="Tinos" w:hAnsi="Tinos" w:eastAsia="Tinos" w:cs="Tinos"/>
          <w:sz w:val="22"/>
          <w:szCs w:val="22"/>
        </w:rPr>
        <w:t xml:space="preserve"> _ </w:t>
      </w:r>
      <w:r>
        <w:rPr>
          <w:rFonts w:ascii="Tinos" w:hAnsi="Tinos" w:eastAsia="Tinos" w:cs="Tinos"/>
          <w:sz w:val="22"/>
          <w:szCs w:val="22"/>
        </w:rPr>
        <w:t xml:space="preserve">копе</w:t>
      </w:r>
      <w:r>
        <w:rPr>
          <w:rFonts w:ascii="Tinos" w:hAnsi="Tinos" w:eastAsia="Tinos" w:cs="Tinos"/>
          <w:sz w:val="22"/>
          <w:szCs w:val="22"/>
        </w:rPr>
        <w:t xml:space="preserve">ек</w:t>
      </w:r>
      <w:r>
        <w:rPr>
          <w:rFonts w:ascii="Tinos" w:hAnsi="Tinos" w:eastAsia="Tinos" w:cs="Tinos"/>
          <w:sz w:val="22"/>
          <w:szCs w:val="22"/>
        </w:rPr>
        <w:t xml:space="preserve">. Кроме того</w:t>
      </w:r>
      <w:r>
        <w:rPr>
          <w:rFonts w:ascii="Tinos" w:hAnsi="Tinos" w:eastAsia="Tinos" w:cs="Tinos"/>
          <w:sz w:val="22"/>
          <w:szCs w:val="22"/>
        </w:rPr>
        <w:t xml:space="preserve">,</w:t>
      </w:r>
      <w:r>
        <w:rPr>
          <w:rFonts w:ascii="Tinos" w:hAnsi="Tinos" w:eastAsia="Tinos" w:cs="Tinos"/>
          <w:sz w:val="22"/>
          <w:szCs w:val="22"/>
        </w:rPr>
        <w:t xml:space="preserve"> НДС </w:t>
      </w:r>
      <w:r>
        <w:rPr>
          <w:rFonts w:ascii="Tinos" w:hAnsi="Tinos" w:eastAsia="Tinos" w:cs="Tinos"/>
          <w:sz w:val="22"/>
          <w:szCs w:val="22"/>
        </w:rPr>
        <w:t xml:space="preserve">20%</w:t>
      </w:r>
      <w:r>
        <w:rPr>
          <w:rFonts w:ascii="Tinos" w:hAnsi="Tinos" w:eastAsia="Tinos" w:cs="Tinos"/>
          <w:sz w:val="22"/>
          <w:szCs w:val="22"/>
        </w:rPr>
        <w:t xml:space="preserve"> составляет: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_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(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)</w:t>
      </w:r>
      <w:r>
        <w:rPr>
          <w:rFonts w:ascii="Tinos" w:hAnsi="Tinos" w:eastAsia="Tinos" w:cs="Tinos"/>
          <w:sz w:val="22"/>
          <w:szCs w:val="22"/>
        </w:rPr>
        <w:t xml:space="preserve"> рублей</w:t>
      </w:r>
      <w:r>
        <w:rPr>
          <w:rFonts w:ascii="Tinos" w:hAnsi="Tinos" w:eastAsia="Tinos" w:cs="Tinos"/>
          <w:sz w:val="22"/>
          <w:szCs w:val="22"/>
        </w:rPr>
        <w:t xml:space="preserve">, _ </w:t>
      </w:r>
      <w:r>
        <w:rPr>
          <w:rFonts w:ascii="Tinos" w:hAnsi="Tinos" w:eastAsia="Tinos" w:cs="Tinos"/>
          <w:sz w:val="22"/>
          <w:szCs w:val="22"/>
        </w:rPr>
        <w:t xml:space="preserve">копеек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Всего с НДС цена Договора составляет</w:t>
      </w:r>
      <w:r>
        <w:rPr>
          <w:rFonts w:ascii="Tinos" w:hAnsi="Tinos" w:eastAsia="Tinos" w:cs="Tinos"/>
          <w:sz w:val="22"/>
          <w:szCs w:val="22"/>
        </w:rPr>
        <w:t xml:space="preserve">: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bCs/>
          <w:sz w:val="22"/>
          <w:szCs w:val="22"/>
        </w:rPr>
        <w:t xml:space="preserve">_</w:t>
      </w:r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(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)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рублей, _ копеек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2"/>
        <w:ind w:right="40" w:firstLine="0"/>
        <w:spacing w:before="0" w:after="0" w:line="17" w:lineRule="atLeast"/>
        <w:widowControl w:val="off"/>
        <w:tabs>
          <w:tab w:val="left" w:pos="142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изменения в течение срока действия Договора ставки НДС, цена Договора с даты изменения будет рассчитываться с учетом новой ставки налога, который уплачи</w:t>
      </w:r>
      <w:r>
        <w:rPr>
          <w:rFonts w:ascii="Tinos" w:hAnsi="Tinos" w:eastAsia="Tinos" w:cs="Tinos"/>
          <w:sz w:val="22"/>
          <w:szCs w:val="22"/>
        </w:rPr>
        <w:t xml:space="preserve">вается сверх цены Договора, без заключения дополнительного соглашения к настоящему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2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 согласована Сторонами на момент заключения Договора и определена в </w:t>
      </w:r>
      <w:r>
        <w:rPr>
          <w:rFonts w:ascii="Tinos" w:hAnsi="Tinos" w:eastAsia="Tinos" w:cs="Tinos"/>
          <w:sz w:val="22"/>
          <w:szCs w:val="22"/>
        </w:rPr>
        <w:t xml:space="preserve">Спецификации (Приложение № 1), являющейся неотъемлемой частью настоящего Дог</w:t>
      </w:r>
      <w:r>
        <w:rPr>
          <w:rFonts w:ascii="Tinos" w:hAnsi="Tinos" w:eastAsia="Tinos" w:cs="Tinos"/>
          <w:sz w:val="22"/>
          <w:szCs w:val="22"/>
        </w:rPr>
        <w:t xml:space="preserve">овора.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2"/>
        <w:ind w:right="40" w:firstLine="0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Все налоги, сборы, отчисления и другие платежи, включая таможенные платежи и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сборы, расходы на транспортировку Продукции до мест</w:t>
      </w:r>
      <w:r>
        <w:rPr>
          <w:rFonts w:ascii="Tinos" w:hAnsi="Tinos" w:eastAsia="Tinos" w:cs="Tinos"/>
          <w:sz w:val="22"/>
          <w:szCs w:val="22"/>
        </w:rPr>
        <w:t xml:space="preserve">а поставки</w:t>
      </w:r>
      <w:r>
        <w:rPr>
          <w:rFonts w:ascii="Tinos" w:hAnsi="Tinos" w:eastAsia="Tinos" w:cs="Tinos"/>
          <w:sz w:val="22"/>
          <w:szCs w:val="22"/>
        </w:rPr>
        <w:t xml:space="preserve">, гарантийные обязательства включены в стоимость Продукции</w:t>
      </w:r>
      <w:r>
        <w:rPr>
          <w:rFonts w:ascii="Tinos" w:hAnsi="Tinos" w:eastAsia="Tinos" w:cs="Tinos"/>
          <w:sz w:val="22"/>
          <w:szCs w:val="22"/>
        </w:rPr>
        <w:t xml:space="preserve">, </w:t>
      </w:r>
      <w:r>
        <w:rPr>
          <w:rFonts w:ascii="Tinos" w:hAnsi="Tinos" w:eastAsia="Tinos" w:cs="Tinos"/>
          <w:sz w:val="22"/>
          <w:szCs w:val="22"/>
        </w:rPr>
        <w:t xml:space="preserve">а также иные возможные затраты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и другие обязательные отчисления, которые производятся Поставщиком в соответствии с установленным законодательством Российской Федерации порядком.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2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</w:t>
      </w:r>
      <w:r>
        <w:rPr>
          <w:rFonts w:ascii="Tinos" w:hAnsi="Tinos" w:eastAsia="Tinos" w:cs="Tinos"/>
          <w:sz w:val="22"/>
          <w:szCs w:val="22"/>
        </w:rPr>
        <w:t xml:space="preserve">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</w:t>
      </w:r>
      <w:r>
        <w:rPr>
          <w:rFonts w:ascii="Tinos" w:hAnsi="Tinos" w:eastAsia="Tinos" w:cs="Tinos"/>
          <w:sz w:val="22"/>
          <w:szCs w:val="22"/>
        </w:rPr>
        <w:t xml:space="preserve">оформлением новой Спецификации.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2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Продукция оплачивается Покупателем в течение 30 (тридцати) календарных дней (для СМП – в срок не более 7 (семи) рабочих дней) со дня получения партии Продукции Покупателем, согласно Заявке, по </w:t>
      </w:r>
      <w:r>
        <w:rPr>
          <w:rFonts w:ascii="Tinos" w:hAnsi="Tinos" w:eastAsia="Tinos" w:cs="Tinos"/>
          <w:sz w:val="22"/>
          <w:szCs w:val="22"/>
        </w:rPr>
        <w:t xml:space="preserve">товарной накладной (товарно-транспортной накладной), либо универсальному передаточному документу (УПД).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2"/>
        <w:ind w:right="40" w:firstLine="0"/>
        <w:spacing w:before="0" w:after="0" w:line="17" w:lineRule="atLeast"/>
        <w:widowControl w:val="off"/>
        <w:tabs>
          <w:tab w:val="num" w:pos="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вправе приостановить оплату, в случае непредставления документов, указанных в п. 4.1. настоящего Договора или несоответствия п. 2.6, 2.7 нас</w:t>
      </w:r>
      <w:r>
        <w:rPr>
          <w:rFonts w:ascii="Tinos" w:hAnsi="Tinos" w:eastAsia="Tinos" w:cs="Tinos"/>
          <w:sz w:val="22"/>
          <w:szCs w:val="22"/>
        </w:rPr>
        <w:t xml:space="preserve">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2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</w:t>
      </w:r>
      <w:r>
        <w:rPr>
          <w:rFonts w:ascii="Tinos" w:hAnsi="Tinos" w:eastAsia="Tinos" w:cs="Tinos"/>
          <w:sz w:val="22"/>
          <w:szCs w:val="22"/>
        </w:rPr>
        <w:t xml:space="preserve">онодательству РФ, по дополнительному соглашению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2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</w:t>
      </w:r>
      <w:r>
        <w:rPr>
          <w:rFonts w:ascii="Tinos" w:hAnsi="Tinos" w:eastAsia="Tinos" w:cs="Tinos"/>
          <w:sz w:val="22"/>
          <w:szCs w:val="22"/>
        </w:rPr>
        <w:t xml:space="preserve">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</w:t>
      </w:r>
      <w:r>
        <w:rPr>
          <w:rFonts w:ascii="Tinos" w:hAnsi="Tinos" w:eastAsia="Tinos" w:cs="Tinos"/>
          <w:sz w:val="22"/>
          <w:szCs w:val="22"/>
        </w:rPr>
        <w:t xml:space="preserve">УПД, содержание которого не соответствует ст. 169 НК РФ, Покупатель вправе вз</w:t>
      </w:r>
      <w:r>
        <w:rPr>
          <w:rFonts w:ascii="Tinos" w:hAnsi="Tinos" w:eastAsia="Tinos" w:cs="Tinos"/>
          <w:sz w:val="22"/>
          <w:szCs w:val="22"/>
        </w:rPr>
        <w:t xml:space="preserve">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2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Для целей применения настоя</w:t>
      </w:r>
      <w:r>
        <w:rPr>
          <w:rFonts w:ascii="Tinos" w:hAnsi="Tinos" w:eastAsia="Tinos" w:cs="Tinos"/>
          <w:sz w:val="22"/>
          <w:szCs w:val="22"/>
        </w:rPr>
        <w:t xml:space="preserve">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</w:t>
      </w:r>
      <w:r>
        <w:rPr>
          <w:rFonts w:ascii="Tinos" w:hAnsi="Tinos" w:eastAsia="Tinos" w:cs="Tinos"/>
          <w:sz w:val="22"/>
          <w:szCs w:val="22"/>
        </w:rPr>
        <w:t xml:space="preserve">тказа налоговых органов в предоставлении вычетов или возмещения Покупателю из бюджета, указанных выше сумм налога.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2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i/>
          <w:iCs/>
          <w:sz w:val="22"/>
          <w:szCs w:val="22"/>
        </w:rPr>
        <w:t xml:space="preserve">*В случае перехода на электронный документооборот, пункт 2.6. излагается в следующей редакции: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2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</w:t>
      </w:r>
      <w:r>
        <w:rPr>
          <w:rFonts w:ascii="Tinos" w:hAnsi="Tinos" w:eastAsia="Tinos" w:cs="Tinos"/>
          <w:sz w:val="22"/>
          <w:szCs w:val="22"/>
        </w:rPr>
        <w:t xml:space="preserve">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</w:t>
      </w:r>
      <w:r>
        <w:rPr>
          <w:rFonts w:ascii="Tinos" w:hAnsi="Tinos" w:eastAsia="Tinos" w:cs="Tinos"/>
          <w:sz w:val="22"/>
          <w:szCs w:val="22"/>
        </w:rPr>
        <w:t xml:space="preserve">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</w:t>
      </w:r>
      <w:r>
        <w:rPr>
          <w:rFonts w:ascii="Tinos" w:hAnsi="Tinos" w:eastAsia="Tinos" w:cs="Tinos"/>
          <w:sz w:val="22"/>
          <w:szCs w:val="22"/>
        </w:rPr>
        <w:t xml:space="preserve">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</w:t>
      </w:r>
      <w:r>
        <w:rPr>
          <w:rFonts w:ascii="Tinos" w:hAnsi="Tinos" w:eastAsia="Tinos" w:cs="Tinos"/>
          <w:sz w:val="22"/>
          <w:szCs w:val="22"/>
        </w:rPr>
        <w:t xml:space="preserve">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2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оформлять первичные бухгалтерские документы в соответствие с пунктом 2 с</w:t>
      </w:r>
      <w:r>
        <w:rPr>
          <w:rFonts w:ascii="Tinos" w:hAnsi="Tinos" w:eastAsia="Tinos" w:cs="Tinos"/>
          <w:sz w:val="22"/>
          <w:szCs w:val="22"/>
        </w:rPr>
        <w:t xml:space="preserve">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</w:t>
      </w:r>
      <w:r>
        <w:rPr>
          <w:rFonts w:ascii="Tinos" w:hAnsi="Tinos" w:eastAsia="Tinos" w:cs="Tinos"/>
          <w:sz w:val="22"/>
          <w:szCs w:val="22"/>
        </w:rPr>
        <w:t xml:space="preserve">12.2011г. № 402-ФЗ «О бухгалтерском учете».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2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в срок с 10 (десятого) по 20 (двадцатое) число месяца, следующего за последним месяцем квартала, направляет Покупателю акт сверки расчетов в двух экземплярах. Покупатель не позднее 10 (десяти) календарн</w:t>
      </w:r>
      <w:r>
        <w:rPr>
          <w:rFonts w:ascii="Tinos" w:hAnsi="Tinos" w:eastAsia="Tinos" w:cs="Tinos"/>
          <w:sz w:val="22"/>
          <w:szCs w:val="22"/>
        </w:rPr>
        <w:t xml:space="preserve">ых дней с даты получения акта сверки расчетов подписывает его и второй экземпляр возвращает Поставщику. В случае, если акт сверки сформирован и направлен Покупателем, Поставщик не позднее 10 (десяти) дней с даты получения акта обязан подписать его и вернут</w:t>
      </w:r>
      <w:r>
        <w:rPr>
          <w:rFonts w:ascii="Tinos" w:hAnsi="Tinos" w:eastAsia="Tinos" w:cs="Tinos"/>
          <w:sz w:val="22"/>
          <w:szCs w:val="22"/>
        </w:rPr>
        <w:t xml:space="preserve">ь второй экземпляр Покупателю.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numPr>
          <w:ilvl w:val="1"/>
          <w:numId w:val="6"/>
        </w:numPr>
        <w:ind w:left="0" w:firstLine="0"/>
        <w:spacing w:before="0" w:after="0" w:line="17" w:lineRule="atLeast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</w:t>
      </w:r>
      <w:r>
        <w:rPr>
          <w:rFonts w:ascii="Tinos" w:hAnsi="Tinos" w:eastAsia="Tinos" w:cs="Tinos"/>
          <w:sz w:val="22"/>
          <w:szCs w:val="22"/>
        </w:rPr>
        <w:t xml:space="preserve">, подтверждающие наличие сопоставимых сделок с независимыми лицами</w:t>
      </w:r>
      <w:r>
        <w:rPr>
          <w:rStyle w:val="1081"/>
          <w:rFonts w:ascii="Tinos" w:hAnsi="Tinos" w:eastAsia="Tinos" w:cs="Tinos"/>
          <w:sz w:val="22"/>
          <w:szCs w:val="22"/>
        </w:rPr>
        <w:footnoteReference w:id="2"/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72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при поставке товаров, подлежащих </w:t>
      </w:r>
      <w:r>
        <w:rPr>
          <w:rFonts w:ascii="Tinos" w:hAnsi="Tinos" w:eastAsia="Tinos" w:cs="Tinos"/>
          <w:sz w:val="22"/>
          <w:szCs w:val="22"/>
        </w:rPr>
        <w:t xml:space="preserve">прослеживаемости</w:t>
      </w:r>
      <w:r>
        <w:rPr>
          <w:rFonts w:ascii="Tinos" w:hAnsi="Tinos" w:eastAsia="Tinos" w:cs="Tinos"/>
          <w:sz w:val="22"/>
          <w:szCs w:val="22"/>
        </w:rPr>
        <w:t xml:space="preserve"> в соответствии с Постановлением Правительства РФ от 01.07.2021 № 1108 «Об </w:t>
      </w:r>
      <w:r>
        <w:rPr>
          <w:rFonts w:ascii="Tinos" w:hAnsi="Tinos" w:eastAsia="Tinos" w:cs="Tinos"/>
          <w:sz w:val="22"/>
          <w:szCs w:val="22"/>
        </w:rPr>
        <w:t xml:space="preserve">утверждении Положения о национальной системе </w:t>
      </w:r>
      <w:r>
        <w:rPr>
          <w:rFonts w:ascii="Tinos" w:hAnsi="Tinos" w:eastAsia="Tinos" w:cs="Tinos"/>
          <w:sz w:val="22"/>
          <w:szCs w:val="22"/>
        </w:rPr>
        <w:t xml:space="preserve">прослеживаемости</w:t>
      </w:r>
      <w:r>
        <w:rPr>
          <w:rFonts w:ascii="Tinos" w:hAnsi="Tinos" w:eastAsia="Tinos" w:cs="Tinos"/>
          <w:sz w:val="22"/>
          <w:szCs w:val="22"/>
        </w:rPr>
        <w:t xml:space="preserve"> товаров», обязуется обеспечить направление счетов-фактур, универсальных передаточных документов, товарных накладных, содержащих реквизиты </w:t>
      </w:r>
      <w:r>
        <w:rPr>
          <w:rFonts w:ascii="Tinos" w:hAnsi="Tinos" w:eastAsia="Tinos" w:cs="Tinos"/>
          <w:sz w:val="22"/>
          <w:szCs w:val="22"/>
        </w:rPr>
        <w:t xml:space="preserve">прослеживаемости</w:t>
      </w:r>
      <w:r>
        <w:rPr>
          <w:rFonts w:ascii="Tinos" w:hAnsi="Tinos" w:eastAsia="Tinos" w:cs="Tinos"/>
          <w:sz w:val="22"/>
          <w:szCs w:val="22"/>
        </w:rPr>
        <w:t xml:space="preserve">, в электронной форме по телекоммуникаци</w:t>
      </w:r>
      <w:r>
        <w:rPr>
          <w:rFonts w:ascii="Tinos" w:hAnsi="Tinos" w:eastAsia="Tinos" w:cs="Tinos"/>
          <w:sz w:val="22"/>
          <w:szCs w:val="22"/>
        </w:rPr>
        <w:t xml:space="preserve"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</w:t>
      </w:r>
      <w:r>
        <w:rPr>
          <w:rFonts w:ascii="Tinos" w:hAnsi="Tinos" w:eastAsia="Tinos" w:cs="Tinos"/>
          <w:sz w:val="22"/>
          <w:szCs w:val="22"/>
        </w:rPr>
        <w:t xml:space="preserve">власти, уполномоченным по контролю и надзору в области налогов и сборов».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right="4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3.  Сроки и порядок поставки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ind w:left="0" w:firstLine="0"/>
        <w:jc w:val="both"/>
        <w:spacing w:after="0" w:afterAutospacing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3.1. </w:t>
      </w:r>
      <w:r>
        <w:rPr>
          <w:rFonts w:ascii="Tinos" w:hAnsi="Tinos" w:eastAsia="Tinos" w:cs="Tinos"/>
          <w:sz w:val="22"/>
          <w:szCs w:val="22"/>
        </w:rPr>
        <w:t xml:space="preserve">Срок поставки: </w:t>
      </w:r>
      <w:r>
        <w:rPr>
          <w:rFonts w:ascii="Tinos" w:hAnsi="Tinos" w:eastAsia="Tinos" w:cs="Tinos"/>
          <w:color w:val="auto"/>
          <w:sz w:val="22"/>
          <w:szCs w:val="22"/>
          <w:highlight w:val="white"/>
        </w:rPr>
        <w:t xml:space="preserve">по Заявкам, с даты заключения настоящего Договора в течение 365 (трехсот шестидесяти пяти) календарных дней.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firstLine="0"/>
        <w:jc w:val="both"/>
        <w:spacing w:after="0" w:afterAutospacing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lang w:eastAsia="ru-RU"/>
        </w:rPr>
        <w:t xml:space="preserve">Срок поставки отдельной партии Продукции согласовывается в Заявках Покупателя </w:t>
      </w:r>
      <w:r>
        <w:rPr>
          <w:rFonts w:ascii="Tinos" w:hAnsi="Tinos" w:eastAsia="Tinos" w:cs="Tinos"/>
          <w:sz w:val="22"/>
          <w:szCs w:val="22"/>
          <w:lang w:eastAsia="ru-RU"/>
        </w:rPr>
        <w:t xml:space="preserve"> (по форме Приложения № 4)</w:t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eastAsia="Tinos" w:cs="Tinos"/>
          <w:sz w:val="22"/>
          <w:szCs w:val="22"/>
          <w:lang w:eastAsia="ru-RU"/>
        </w:rPr>
        <w:t xml:space="preserve">Заявка на поставку Продукции подается не позднее, чем за 30 (тридцать) календарных дней до планируемого срока поставки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2"/>
        <w:numPr>
          <w:ilvl w:val="0"/>
          <w:numId w:val="0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clear" w:pos="360" w:leader="none"/>
          <w:tab w:val="left" w:pos="425" w:leader="none"/>
        </w:tabs>
        <w:rPr>
          <w:rFonts w:ascii="Tinos" w:hAnsi="Tinos" w:eastAsia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3.2. </w:t>
      </w:r>
      <w:r>
        <w:rPr>
          <w:rFonts w:ascii="Tinos" w:hAnsi="Tinos" w:eastAsia="Tinos" w:cs="Tinos"/>
          <w:sz w:val="22"/>
          <w:szCs w:val="22"/>
          <w:lang w:eastAsia="ru-RU"/>
        </w:rPr>
        <w:t xml:space="preserve">Место (объект) поставки: </w:t>
      </w:r>
      <w:r>
        <w:rPr>
          <w:rFonts w:ascii="Tinos" w:hAnsi="Tinos" w:eastAsia="Tinos" w:cs="Tinos"/>
          <w:sz w:val="22"/>
          <w:szCs w:val="22"/>
        </w:rPr>
        <w:t xml:space="preserve">Центральный склад </w:t>
      </w:r>
      <w:r>
        <w:rPr>
          <w:rFonts w:ascii="Tinos" w:hAnsi="Tinos" w:eastAsia="Tinos" w:cs="Tinos"/>
          <w:sz w:val="22"/>
          <w:szCs w:val="22"/>
        </w:rPr>
        <w:t xml:space="preserve">АО</w:t>
      </w:r>
      <w:r>
        <w:rPr>
          <w:rFonts w:ascii="Tinos" w:hAnsi="Tinos" w:eastAsia="Tinos" w:cs="Tinos"/>
          <w:sz w:val="22"/>
          <w:szCs w:val="22"/>
        </w:rPr>
        <w:t xml:space="preserve"> «</w:t>
      </w:r>
      <w:r>
        <w:rPr>
          <w:rFonts w:ascii="Tinos" w:hAnsi="Tinos" w:eastAsia="Tinos" w:cs="Tinos"/>
          <w:sz w:val="22"/>
          <w:szCs w:val="22"/>
        </w:rPr>
        <w:t xml:space="preserve">Россети</w:t>
      </w:r>
      <w:r>
        <w:rPr>
          <w:rFonts w:ascii="Tinos" w:hAnsi="Tinos" w:eastAsia="Tinos" w:cs="Tinos"/>
          <w:sz w:val="22"/>
          <w:szCs w:val="22"/>
        </w:rPr>
        <w:t xml:space="preserve"> Сибирь </w:t>
      </w:r>
      <w:r>
        <w:rPr>
          <w:rFonts w:ascii="Tinos" w:hAnsi="Tinos" w:eastAsia="Tinos" w:cs="Tinos"/>
          <w:sz w:val="22"/>
          <w:szCs w:val="22"/>
        </w:rPr>
        <w:t xml:space="preserve">Тываэнерго</w:t>
      </w:r>
      <w:r>
        <w:rPr>
          <w:rFonts w:ascii="Tinos" w:hAnsi="Tinos" w:eastAsia="Tinos" w:cs="Tinos"/>
          <w:sz w:val="22"/>
          <w:szCs w:val="22"/>
        </w:rPr>
        <w:t xml:space="preserve">» 667004 г. Кызыл, </w:t>
      </w:r>
      <w:r>
        <w:rPr>
          <w:rFonts w:ascii="Tinos" w:hAnsi="Tinos" w:eastAsia="Tinos" w:cs="Tinos"/>
          <w:sz w:val="22"/>
          <w:szCs w:val="22"/>
        </w:rPr>
        <w:t xml:space="preserve">ул. Колхозная, </w:t>
      </w:r>
      <w:r>
        <w:rPr>
          <w:rFonts w:ascii="Tinos" w:hAnsi="Tinos" w:eastAsia="Tinos" w:cs="Tinos"/>
          <w:sz w:val="22"/>
          <w:szCs w:val="22"/>
        </w:rPr>
        <w:t xml:space="preserve">д. </w:t>
      </w:r>
      <w:r>
        <w:rPr>
          <w:rFonts w:ascii="Tinos" w:hAnsi="Tinos" w:eastAsia="Tinos" w:cs="Tinos"/>
          <w:sz w:val="22"/>
          <w:szCs w:val="22"/>
        </w:rPr>
        <w:t xml:space="preserve">2</w:t>
      </w:r>
      <w:r>
        <w:rPr>
          <w:rFonts w:ascii="Tinos" w:hAnsi="Tinos" w:eastAsia="Tinos" w:cs="Tinos"/>
          <w:sz w:val="22"/>
          <w:szCs w:val="22"/>
        </w:rPr>
        <w:t xml:space="preserve">Б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eastAsia="Tinos" w:cs="Tinos"/>
          <w:sz w:val="22"/>
          <w:szCs w:val="22"/>
        </w:rPr>
      </w:r>
    </w:p>
    <w:p>
      <w:pPr>
        <w:pStyle w:val="1082"/>
        <w:numPr>
          <w:ilvl w:val="0"/>
          <w:numId w:val="0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clear" w:pos="360" w:leader="none"/>
          <w:tab w:val="left" w:pos="425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Сп</w:t>
      </w:r>
      <w:r>
        <w:rPr>
          <w:rFonts w:ascii="Tinos" w:hAnsi="Tinos" w:eastAsia="Tinos" w:cs="Tinos"/>
          <w:sz w:val="22"/>
          <w:szCs w:val="22"/>
        </w:rPr>
        <w:t xml:space="preserve">особ поставки:</w:t>
      </w:r>
      <w:r>
        <w:rPr>
          <w:rFonts w:ascii="Tinos" w:hAnsi="Tinos" w:eastAsia="Tinos" w:cs="Tinos"/>
          <w:sz w:val="22"/>
          <w:szCs w:val="22"/>
        </w:rPr>
        <w:t xml:space="preserve"> Поставка Продукции осуществляется </w:t>
      </w:r>
      <w:r>
        <w:rPr>
          <w:rFonts w:ascii="Tinos" w:hAnsi="Tinos" w:eastAsia="Tinos" w:cs="Tinos"/>
          <w:sz w:val="22"/>
          <w:szCs w:val="22"/>
        </w:rPr>
        <w:t xml:space="preserve">транспортными средствами Поставщика.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2"/>
        <w:numPr>
          <w:ilvl w:val="0"/>
          <w:numId w:val="0"/>
        </w:numPr>
        <w:ind w:left="0" w:firstLine="0"/>
        <w:jc w:val="both"/>
        <w:spacing w:after="0" w:afterAutospacing="0" w:line="17" w:lineRule="atLeast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3.3. Право собственности и риск случайной гибели П</w:t>
      </w:r>
      <w:r>
        <w:rPr>
          <w:rFonts w:ascii="Tinos" w:hAnsi="Tinos" w:eastAsia="Tinos" w:cs="Tinos"/>
          <w:sz w:val="22"/>
          <w:szCs w:val="22"/>
        </w:rPr>
        <w:t xml:space="preserve">родукции переходит от Поставщика к Покупателю после разгрузки Продукции на месте (объекте), указа</w:t>
      </w:r>
      <w:r>
        <w:rPr>
          <w:rFonts w:ascii="Tinos" w:hAnsi="Tinos" w:eastAsia="Tinos" w:cs="Tinos"/>
          <w:sz w:val="22"/>
          <w:szCs w:val="22"/>
        </w:rPr>
        <w:t xml:space="preserve">нном в заявке Покупателя.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2"/>
        <w:numPr>
          <w:ilvl w:val="0"/>
          <w:numId w:val="0"/>
        </w:numPr>
        <w:ind w:left="0" w:firstLine="0"/>
        <w:jc w:val="both"/>
        <w:spacing w:after="0" w:afterAutospacing="0" w:line="17" w:lineRule="atLeast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3.4. Датой поставки (отгрузки) Продукции считается: дата подписания товарной накладной со стороны Покупателя (при самовывозе</w:t>
      </w:r>
      <w:r>
        <w:rPr>
          <w:rFonts w:ascii="Tinos" w:hAnsi="Tinos" w:eastAsia="Tinos" w:cs="Tinos"/>
          <w:sz w:val="22"/>
          <w:szCs w:val="22"/>
        </w:rPr>
        <w:t xml:space="preserve"> автотранспорт</w:t>
      </w:r>
      <w:r>
        <w:rPr>
          <w:rFonts w:ascii="Tinos" w:hAnsi="Tinos" w:eastAsia="Tinos" w:cs="Tinos"/>
          <w:sz w:val="22"/>
          <w:szCs w:val="22"/>
        </w:rPr>
        <w:t xml:space="preserve">ом Покупателя - франко-склад Поставщика или доставкой до Покупателя силами и средствами Поставщика (франко-склад Покупателя).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8"/>
        <w:ind w:right="40" w:firstLine="0"/>
        <w:jc w:val="both"/>
        <w:spacing w:before="0" w:after="0" w:afterAutospacing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Подтверждением факта приемки-передачи (отгрузки) Продукции является товарная накладная (товарно-транспортная накладная) или УПД.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2"/>
        <w:numPr>
          <w:ilvl w:val="0"/>
          <w:numId w:val="0"/>
        </w:numPr>
        <w:ind w:left="0" w:firstLine="0"/>
        <w:jc w:val="both"/>
        <w:spacing w:after="0" w:afterAutospacing="0" w:line="17" w:lineRule="atLeast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3.5. В</w:t>
      </w:r>
      <w:r>
        <w:rPr>
          <w:rFonts w:ascii="Tinos" w:hAnsi="Tinos" w:eastAsia="Tinos" w:cs="Tinos"/>
          <w:sz w:val="22"/>
          <w:szCs w:val="22"/>
        </w:rPr>
        <w:t xml:space="preserve">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</w:t>
      </w:r>
      <w:r>
        <w:rPr>
          <w:rFonts w:ascii="Tinos" w:hAnsi="Tinos" w:eastAsia="Tinos" w:cs="Tinos"/>
          <w:sz w:val="22"/>
          <w:szCs w:val="22"/>
        </w:rPr>
        <w:t xml:space="preserve">накладной, морской накладной при доставке водным транспортом) или УПД.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2"/>
        <w:numPr>
          <w:ilvl w:val="0"/>
          <w:numId w:val="0"/>
        </w:numPr>
        <w:ind w:left="0" w:firstLine="0"/>
        <w:jc w:val="both"/>
        <w:spacing w:after="0" w:afterAutospacing="0" w:line="17" w:lineRule="atLeast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3.6. 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</w:t>
      </w:r>
      <w:r>
        <w:rPr>
          <w:rFonts w:ascii="Tinos" w:hAnsi="Tinos" w:eastAsia="Tinos" w:cs="Tinos"/>
          <w:sz w:val="22"/>
          <w:szCs w:val="22"/>
        </w:rPr>
        <w:t xml:space="preserve">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</w:t>
      </w:r>
      <w:r>
        <w:rPr>
          <w:rFonts w:ascii="Tinos" w:hAnsi="Tinos" w:eastAsia="Tinos" w:cs="Tinos"/>
          <w:sz w:val="22"/>
          <w:szCs w:val="22"/>
        </w:rPr>
        <w:t xml:space="preserve">ления претензий и исков к Поставщику и (или) транспортной организации.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right="4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4.  Качество и порядок приемки Продукции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96"/>
        <w:numPr>
          <w:ilvl w:val="1"/>
          <w:numId w:val="28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ГОСТам, характеристикам </w:t>
      </w:r>
      <w:r>
        <w:rPr>
          <w:rFonts w:ascii="Tinos" w:hAnsi="Tinos" w:eastAsia="Tinos" w:cs="Tinos"/>
          <w:sz w:val="22"/>
          <w:szCs w:val="22"/>
        </w:rPr>
        <w:t xml:space="preserve">и требованиям, указанным в Приложении № 1 к настоящему Договору, изготовлена в год пос</w:t>
      </w:r>
      <w:r>
        <w:rPr>
          <w:rFonts w:ascii="Tinos" w:hAnsi="Tinos" w:eastAsia="Tinos" w:cs="Tinos"/>
          <w:sz w:val="22"/>
          <w:szCs w:val="22"/>
        </w:rPr>
        <w:t xml:space="preserve">тавки или предшествующий ему.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Продукция должна быть ранее не использованной.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96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none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eastAsia="Tinos" w:cs="Tinos"/>
          <w:sz w:val="22"/>
          <w:szCs w:val="22"/>
        </w:rPr>
        <w:t xml:space="preserve">Упаковка, маркировка, условия транспортирования, в том числе требования к выбору вида транспортных средств, </w:t>
      </w:r>
      <w:r>
        <w:rPr>
          <w:rFonts w:ascii="Tinos" w:hAnsi="Tinos" w:eastAsia="Tinos" w:cs="Tinos"/>
          <w:sz w:val="22"/>
          <w:szCs w:val="22"/>
          <w:lang w:eastAsia="ru-RU"/>
        </w:rPr>
        <w:t xml:space="preserve">расходных материалов и документации должны соответствовать требованиям, указанным в</w:t>
      </w:r>
      <w:r>
        <w:rPr>
          <w:rFonts w:ascii="Tinos" w:hAnsi="Tinos" w:eastAsia="Tinos" w:cs="Tinos" w:eastAsiaTheme="minorHAnsi"/>
          <w:sz w:val="22"/>
          <w:szCs w:val="22"/>
        </w:rPr>
        <w:t xml:space="preserve"> технических условиях изготовителя изделия</w:t>
      </w:r>
      <w:r>
        <w:rPr>
          <w:rFonts w:ascii="Tinos" w:hAnsi="Tinos" w:eastAsia="Tinos" w:cs="Tinos" w:eastAsiaTheme="minorHAnsi"/>
          <w:sz w:val="22"/>
          <w:szCs w:val="22"/>
        </w:rPr>
        <w:t xml:space="preserve"> и др. нормативно-технической документации.</w:t>
      </w:r>
      <w:r>
        <w:rPr>
          <w:rFonts w:ascii="Tinos" w:hAnsi="Tinos" w:cs="Tinos"/>
          <w:sz w:val="22"/>
          <w:szCs w:val="22"/>
          <w:highlight w:val="none"/>
        </w:rPr>
      </w:r>
      <w:r>
        <w:rPr>
          <w:rFonts w:ascii="Tinos" w:hAnsi="Tinos" w:cs="Tinos"/>
          <w:sz w:val="22"/>
          <w:szCs w:val="22"/>
          <w:highlight w:val="none"/>
        </w:rPr>
      </w:r>
    </w:p>
    <w:p>
      <w:pPr>
        <w:ind w:firstLine="0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2"/>
          <w:szCs w:val="22"/>
        </w:rPr>
        <w:t xml:space="preserve">Продукция должна снабжаться идентифицирующей и информационной маркировкой, обеспечивающей потребителя полной информацией о Продукции</w:t>
      </w:r>
      <w:r>
        <w:rPr>
          <w:rFonts w:ascii="Tinos" w:hAnsi="Tinos" w:eastAsia="Tinos" w:cs="Tinos"/>
          <w:sz w:val="22"/>
          <w:szCs w:val="22"/>
        </w:rPr>
        <w:t xml:space="preserve">:</w:t>
      </w:r>
      <w:r>
        <w:rPr>
          <w:rFonts w:ascii="Tinos" w:hAnsi="Tinos" w:eastAsia="Tinos" w:cs="Tinos"/>
          <w:i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наименование изготовителя</w:t>
      </w:r>
      <w:r>
        <w:rPr>
          <w:rFonts w:ascii="Tinos" w:hAnsi="Tinos" w:eastAsia="Tinos" w:cs="Tinos"/>
          <w:i/>
          <w:sz w:val="22"/>
          <w:szCs w:val="22"/>
        </w:rPr>
        <w:t xml:space="preserve">, </w:t>
      </w:r>
      <w:r>
        <w:rPr>
          <w:rFonts w:ascii="Tinos" w:hAnsi="Tinos" w:eastAsia="Tinos" w:cs="Tinos"/>
          <w:sz w:val="22"/>
          <w:szCs w:val="22"/>
        </w:rPr>
        <w:t xml:space="preserve">номер партии, дата изготовления, срок годнос</w:t>
      </w:r>
      <w:r>
        <w:rPr>
          <w:rFonts w:ascii="Tinos" w:hAnsi="Tinos" w:eastAsia="Tinos" w:cs="Tinos"/>
          <w:sz w:val="22"/>
          <w:szCs w:val="22"/>
        </w:rPr>
        <w:t xml:space="preserve">ти, дата выпуска, состав и т.д.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1096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96"/>
        <w:numPr>
          <w:ilvl w:val="1"/>
          <w:numId w:val="28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</w:t>
      </w:r>
      <w:r>
        <w:rPr>
          <w:rFonts w:ascii="Tinos" w:hAnsi="Tinos" w:eastAsia="Tinos" w:cs="Tinos"/>
          <w:sz w:val="22"/>
          <w:szCs w:val="22"/>
        </w:rPr>
        <w:t xml:space="preserve">я, Поставщик должен в течение 20 (двадцати) рабочих дней с даты письменного обращения Покупателя к Поставщику произвести замену Продукции ненадлежащего качества или ее части без расходов со стороны Покупателя.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96"/>
        <w:numPr>
          <w:ilvl w:val="1"/>
          <w:numId w:val="28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</w:t>
      </w:r>
      <w:r>
        <w:rPr>
          <w:rFonts w:ascii="Tinos" w:hAnsi="Tinos" w:eastAsia="Tinos" w:cs="Tinos"/>
          <w:sz w:val="22"/>
          <w:szCs w:val="22"/>
        </w:rPr>
        <w:t xml:space="preserve">сли Поставщик, получив уведомление, не исправит дефект(ы) или не произведет замену некачественной Продукции в сроки, указанные в п. 4.2. настоящего Договора, Покупатель может применить санкции, указанные в п. 5.2. настоящего Договора, без какого-либо ущерб</w:t>
      </w:r>
      <w:r>
        <w:rPr>
          <w:rFonts w:ascii="Tinos" w:hAnsi="Tinos" w:eastAsia="Tinos" w:cs="Tinos"/>
          <w:sz w:val="22"/>
          <w:szCs w:val="22"/>
        </w:rPr>
        <w:t xml:space="preserve">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28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существенного нарушения требований к качеству Продукции (обнаружения неустранимых недостатков, н</w:t>
      </w:r>
      <w:r>
        <w:rPr>
          <w:rFonts w:ascii="Tinos" w:hAnsi="Tinos" w:eastAsia="Tinos" w:cs="Tinos"/>
          <w:sz w:val="22"/>
          <w:szCs w:val="22"/>
        </w:rPr>
        <w:t xml:space="preserve">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96"/>
        <w:numPr>
          <w:ilvl w:val="0"/>
          <w:numId w:val="31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отказаться от исполнения</w:t>
      </w:r>
      <w:r>
        <w:rPr>
          <w:rFonts w:ascii="Tinos" w:hAnsi="Tinos" w:eastAsia="Tinos" w:cs="Tinos"/>
          <w:sz w:val="22"/>
          <w:szCs w:val="22"/>
        </w:rPr>
        <w:t xml:space="preserve"> Договора и потребовать возврата уплаченной за Продукцию денежной суммы;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96"/>
        <w:numPr>
          <w:ilvl w:val="0"/>
          <w:numId w:val="31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потребовать замены Продукции ненадлежащего качества Продукцией, соответствующей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96"/>
        <w:numPr>
          <w:ilvl w:val="1"/>
          <w:numId w:val="28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Вся поставляемая Продукция проходит входной контроль, осуществляемый представителями АО «</w:t>
      </w:r>
      <w:r>
        <w:rPr>
          <w:rFonts w:ascii="Tinos" w:hAnsi="Tinos" w:eastAsia="Tinos" w:cs="Tinos"/>
          <w:sz w:val="22"/>
          <w:szCs w:val="22"/>
        </w:rPr>
        <w:t xml:space="preserve">Россети</w:t>
      </w:r>
      <w:r>
        <w:rPr>
          <w:rFonts w:ascii="Tinos" w:hAnsi="Tinos" w:eastAsia="Tinos" w:cs="Tinos"/>
          <w:sz w:val="22"/>
          <w:szCs w:val="22"/>
        </w:rPr>
        <w:t xml:space="preserve"> Сибирь </w:t>
      </w:r>
      <w:r>
        <w:rPr>
          <w:rFonts w:ascii="Tinos" w:hAnsi="Tinos" w:eastAsia="Tinos" w:cs="Tinos"/>
          <w:sz w:val="22"/>
          <w:szCs w:val="22"/>
        </w:rPr>
        <w:t xml:space="preserve">Тываэнерго</w:t>
      </w:r>
      <w:r>
        <w:rPr>
          <w:rFonts w:ascii="Tinos" w:hAnsi="Tinos" w:eastAsia="Tinos" w:cs="Tinos"/>
          <w:sz w:val="22"/>
          <w:szCs w:val="22"/>
        </w:rPr>
        <w:t xml:space="preserve">» при получении на склад.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Приемка продукции по качеству производится в соответствии с законодательством Российской Федерации (ст. 513 ГК РФ),</w:t>
      </w:r>
      <w:r>
        <w:rPr>
          <w:rFonts w:ascii="Tinos" w:hAnsi="Tinos" w:eastAsia="Tinos" w:cs="Tinos"/>
          <w:sz w:val="22"/>
          <w:szCs w:val="22"/>
        </w:rPr>
        <w:t xml:space="preserve"> СО_5.022_ и условиями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приемке продукции осуществляется: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2"/>
        </w:numPr>
        <w:ind w:left="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внешний осмотр тары и упаковки;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2"/>
        </w:numPr>
        <w:ind w:left="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</w:t>
      </w:r>
      <w:r>
        <w:rPr>
          <w:rFonts w:ascii="Tinos" w:hAnsi="Tinos" w:eastAsia="Tinos" w:cs="Tinos"/>
          <w:sz w:val="22"/>
          <w:szCs w:val="22"/>
        </w:rPr>
        <w:t xml:space="preserve">ерка соответствия количества отгруженных и поступивших поставочных мест;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2"/>
        </w:numPr>
        <w:ind w:left="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2"/>
        </w:numPr>
        <w:ind w:left="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контроль соответствия качества и комплектности материалов требованиям договоров на поставку.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96"/>
        <w:ind w:left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выявления дефектов, Поставщик обязан за свой счет заменить поставленную Продукцию.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96"/>
        <w:numPr>
          <w:ilvl w:val="1"/>
          <w:numId w:val="28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поставке Продукции Поставщик должен передать Покупателю оригиналы следующих документов на русском языке: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96"/>
        <w:numPr>
          <w:ilvl w:val="2"/>
          <w:numId w:val="26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color w:val="000000"/>
          <w:sz w:val="22"/>
          <w:szCs w:val="22"/>
        </w:rPr>
        <w:t xml:space="preserve">Российские сертификаты (декларации/свидетельства) соответствия</w:t>
      </w:r>
      <w:r>
        <w:rPr>
          <w:rFonts w:ascii="Tinos" w:hAnsi="Tinos" w:eastAsia="Tinos" w:cs="Tinos"/>
          <w:sz w:val="22"/>
          <w:szCs w:val="22"/>
          <w:highlight w:val="none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96"/>
        <w:numPr>
          <w:ilvl w:val="2"/>
          <w:numId w:val="26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Сертификат о происхождении свидетельства о праве примене</w:t>
      </w:r>
      <w:r>
        <w:rPr>
          <w:rFonts w:ascii="Tinos" w:hAnsi="Tinos" w:eastAsia="Tinos" w:cs="Tinos"/>
          <w:sz w:val="22"/>
          <w:szCs w:val="22"/>
        </w:rPr>
        <w:t xml:space="preserve">ния Товара на территории Российской Федерации в случае поставки Продукции, произведенной за пределами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96"/>
        <w:numPr>
          <w:ilvl w:val="2"/>
          <w:numId w:val="26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Документ, подтверждающий страну происхождения Продукции.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96"/>
        <w:numPr>
          <w:ilvl w:val="1"/>
          <w:numId w:val="26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поставки Продукции, имеющей зарегистрированный товарный знак, Пост</w:t>
      </w:r>
      <w:r>
        <w:rPr>
          <w:rFonts w:ascii="Tinos" w:hAnsi="Tinos" w:eastAsia="Tinos" w:cs="Tinos"/>
          <w:sz w:val="22"/>
          <w:szCs w:val="22"/>
        </w:rPr>
        <w:t xml:space="preserve">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96"/>
        <w:numPr>
          <w:ilvl w:val="0"/>
          <w:numId w:val="17"/>
        </w:numPr>
        <w:ind w:left="0" w:right="40" w:firstLine="0"/>
        <w:jc w:val="center"/>
        <w:spacing w:after="0" w:line="17" w:lineRule="atLeast"/>
        <w:widowControl w:val="off"/>
        <w:tabs>
          <w:tab w:val="left" w:pos="0" w:leader="none"/>
          <w:tab w:val="left" w:pos="283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Ответственность сторон и порядок разрешения споров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76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Поставляемая по настоящему Договору Продукция должна быть свободной от любых прав третьих лиц.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</w:t>
      </w:r>
      <w:r>
        <w:rPr>
          <w:rFonts w:ascii="Tinos" w:hAnsi="Tinos" w:eastAsia="Tinos" w:cs="Tinos"/>
          <w:sz w:val="22"/>
          <w:szCs w:val="22"/>
        </w:rPr>
        <w:t xml:space="preserve">олненных обязательств за каждый день просрочки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За непредставление/нарушение сроков представления документов, предусмотренных п. 4.7.1., 4.7.2. Договора, Поставщик уплачивает неустойку в размере 0,2% от стоимости Товара за</w:t>
      </w:r>
      <w:r>
        <w:rPr>
          <w:rFonts w:ascii="Tinos" w:hAnsi="Tinos" w:eastAsia="Tinos" w:cs="Tinos"/>
          <w:sz w:val="22"/>
          <w:szCs w:val="22"/>
        </w:rPr>
        <w:t xml:space="preserve"> каждый день просрочки выполнения Поставщиком своих обязательств до фактического исполнения данного обязательства.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ind w:firstLine="0"/>
        <w:spacing w:before="0" w:after="0" w:line="17" w:lineRule="atLeast"/>
        <w:tabs>
          <w:tab w:val="num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</w:t>
      </w:r>
      <w:r>
        <w:rPr>
          <w:rFonts w:ascii="Tinos" w:hAnsi="Tinos" w:eastAsia="Tinos" w:cs="Tinos"/>
          <w:sz w:val="22"/>
          <w:szCs w:val="22"/>
        </w:rPr>
        <w:t xml:space="preserve">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</w:t>
      </w:r>
      <w:r>
        <w:rPr>
          <w:rFonts w:ascii="Tinos" w:hAnsi="Tinos" w:eastAsia="Tinos" w:cs="Tinos"/>
          <w:sz w:val="22"/>
          <w:szCs w:val="22"/>
        </w:rPr>
        <w:t xml:space="preserve">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Начисление неустойки осуществляется</w:t>
      </w:r>
      <w:r>
        <w:rPr>
          <w:rFonts w:ascii="Tinos" w:hAnsi="Tinos" w:eastAsia="Tinos" w:cs="Tinos"/>
          <w:sz w:val="22"/>
          <w:szCs w:val="22"/>
        </w:rPr>
        <w:t xml:space="preserve">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предоставляет Покупателю информацию </w:t>
      </w:r>
      <w:r>
        <w:rPr>
          <w:rFonts w:ascii="Tinos" w:hAnsi="Tinos" w:eastAsia="Tinos" w:cs="Tinos"/>
          <w:sz w:val="22"/>
          <w:szCs w:val="22"/>
        </w:rPr>
        <w:t xml:space="preserve">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непредставления Поставщиком информации об отнесении привлекаемых су</w:t>
      </w:r>
      <w:r>
        <w:rPr>
          <w:rFonts w:ascii="Tinos" w:hAnsi="Tinos" w:eastAsia="Tinos" w:cs="Tinos"/>
          <w:sz w:val="22"/>
          <w:szCs w:val="22"/>
        </w:rPr>
        <w:t xml:space="preserve">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 по привлечению к исполнению договора субпоставщиков из числа субъекто</w:t>
      </w:r>
      <w:r>
        <w:rPr>
          <w:rFonts w:ascii="Tinos" w:hAnsi="Tinos" w:eastAsia="Tinos" w:cs="Tinos"/>
          <w:sz w:val="22"/>
          <w:szCs w:val="22"/>
        </w:rPr>
        <w:t xml:space="preserve">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1081"/>
          <w:rFonts w:ascii="Tinos" w:hAnsi="Tinos" w:eastAsia="Tinos" w:cs="Tinos"/>
          <w:sz w:val="22"/>
          <w:szCs w:val="22"/>
        </w:rPr>
        <w:footnoteReference w:id="3"/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обязательств, предусмотренных п. 2.8. настоящего Договора, Пост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авщик уплачивает Покупателю штраф в разме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ре 0,1% от стоимости Договора.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6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установления факта предоставления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Поставщиком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недействительной независимой гарантии,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уплачивает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Покупателю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штраф в размере двойной Ключевой ставки Центрального Банка Российской Федерации от цены Договора</w:t>
      </w:r>
      <w:r>
        <w:rPr>
          <w:rStyle w:val="1118"/>
          <w:rFonts w:ascii="Tinos" w:hAnsi="Tinos" w:eastAsia="Tinos" w:cs="Tinos"/>
          <w:sz w:val="22"/>
          <w:szCs w:val="22"/>
          <w:highlight w:val="white"/>
          <w:shd w:val="clear" w:color="auto" w:fill="ffffff"/>
        </w:rPr>
        <w:footnoteReference w:id="4"/>
      </w:r>
      <w:r>
        <w:rPr>
          <w:rFonts w:ascii="Tinos" w:hAnsi="Tinos" w:eastAsia="Tinos" w:cs="Tinos"/>
          <w:sz w:val="22"/>
          <w:szCs w:val="22"/>
          <w:highlight w:val="white"/>
          <w:lang w:val="ru-RU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6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Уплата пеней и штрафов производится в течение 20 (двадцати) рабочих дней со дня направления соответствующей претензии.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6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Стоимость подлежащего оплате Покупателем Товара по Договору может быть уменьшена Покупателем на сумму начи</w:t>
      </w:r>
      <w:r>
        <w:rPr>
          <w:rFonts w:ascii="Tinos" w:hAnsi="Tinos" w:eastAsia="Tinos" w:cs="Tinos"/>
          <w:sz w:val="22"/>
          <w:szCs w:val="22"/>
        </w:rPr>
        <w:t xml:space="preserve">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</w:t>
      </w:r>
      <w:r>
        <w:rPr>
          <w:rFonts w:ascii="Tinos" w:hAnsi="Tinos" w:eastAsia="Tinos" w:cs="Tinos"/>
          <w:sz w:val="22"/>
          <w:szCs w:val="22"/>
        </w:rPr>
        <w:t xml:space="preserve">ставщику счет на оплату санкций, превышающих стоимость Товара по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</w:t>
      </w:r>
      <w:r>
        <w:rPr>
          <w:rFonts w:ascii="Tinos" w:hAnsi="Tinos" w:eastAsia="Tinos" w:cs="Tinos"/>
          <w:sz w:val="22"/>
          <w:szCs w:val="22"/>
        </w:rPr>
        <w:t xml:space="preserve">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</w:t>
      </w:r>
      <w:r>
        <w:rPr>
          <w:rFonts w:ascii="Tinos" w:hAnsi="Tinos" w:eastAsia="Tinos" w:cs="Tinos"/>
          <w:sz w:val="22"/>
          <w:szCs w:val="22"/>
        </w:rPr>
        <w:t xml:space="preserve">Россети</w:t>
      </w:r>
      <w:r>
        <w:rPr>
          <w:rFonts w:ascii="Tinos" w:hAnsi="Tinos" w:eastAsia="Tinos" w:cs="Tinos"/>
          <w:sz w:val="22"/>
          <w:szCs w:val="22"/>
        </w:rPr>
        <w:t xml:space="preserve"> Сибирь </w:t>
      </w:r>
      <w:r>
        <w:rPr>
          <w:rFonts w:ascii="Tinos" w:hAnsi="Tinos" w:eastAsia="Tinos" w:cs="Tinos"/>
          <w:sz w:val="22"/>
          <w:szCs w:val="22"/>
        </w:rPr>
        <w:t xml:space="preserve">Тываэнерго</w:t>
      </w:r>
      <w:r>
        <w:rPr>
          <w:rFonts w:ascii="Tinos" w:hAnsi="Tinos" w:eastAsia="Tinos" w:cs="Tinos"/>
          <w:sz w:val="22"/>
          <w:szCs w:val="22"/>
        </w:rPr>
        <w:t xml:space="preserve">» в соответствии с законодательством или в порядке арбитража (третейского раз</w:t>
      </w:r>
      <w:r>
        <w:rPr>
          <w:rFonts w:ascii="Tinos" w:hAnsi="Tinos" w:eastAsia="Tinos" w:cs="Tinos"/>
          <w:sz w:val="22"/>
          <w:szCs w:val="22"/>
        </w:rPr>
        <w:t xml:space="preserve">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Споры передаются на разрешение третейского суда, то выне</w:t>
      </w:r>
      <w:r>
        <w:rPr>
          <w:rFonts w:ascii="Tinos" w:hAnsi="Tinos" w:eastAsia="Tinos" w:cs="Tinos"/>
          <w:sz w:val="22"/>
          <w:szCs w:val="22"/>
        </w:rPr>
        <w:t xml:space="preserve">сенное им решение будет окончательным, обязательным для сторон и не подлежит оспариванию.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договорились, что исполнительный лист получается по месту третейского судопроизводства.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соглашаются, что документы и иные материалы в рамках арбитража</w:t>
      </w:r>
      <w:r>
        <w:rPr>
          <w:rFonts w:ascii="Tinos" w:hAnsi="Tinos" w:eastAsia="Tinos" w:cs="Tinos"/>
          <w:sz w:val="22"/>
          <w:szCs w:val="22"/>
        </w:rPr>
        <w:t xml:space="preserve"> могут направляться по следующим адресам электронной почты: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numPr>
          <w:ilvl w:val="0"/>
          <w:numId w:val="48"/>
        </w:numPr>
        <w:ind w:left="0" w:right="0" w:firstLine="0"/>
        <w:spacing w:before="0"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АО «</w:t>
      </w:r>
      <w:r>
        <w:rPr>
          <w:rFonts w:ascii="Tinos" w:hAnsi="Tinos" w:eastAsia="Tinos" w:cs="Tinos"/>
          <w:sz w:val="22"/>
          <w:szCs w:val="22"/>
        </w:rPr>
        <w:t xml:space="preserve">Россети</w:t>
      </w:r>
      <w:r>
        <w:rPr>
          <w:rFonts w:ascii="Tinos" w:hAnsi="Tinos" w:eastAsia="Tinos" w:cs="Tinos"/>
          <w:sz w:val="22"/>
          <w:szCs w:val="22"/>
        </w:rPr>
        <w:t xml:space="preserve"> Сибирь </w:t>
      </w:r>
      <w:r>
        <w:rPr>
          <w:rFonts w:ascii="Tinos" w:hAnsi="Tinos" w:eastAsia="Tinos" w:cs="Tinos"/>
          <w:sz w:val="22"/>
          <w:szCs w:val="22"/>
        </w:rPr>
        <w:t xml:space="preserve">Тываэнерго</w:t>
      </w:r>
      <w:r>
        <w:rPr>
          <w:rFonts w:ascii="Tinos" w:hAnsi="Tinos" w:eastAsia="Tinos" w:cs="Tinos"/>
          <w:sz w:val="22"/>
          <w:szCs w:val="22"/>
        </w:rPr>
        <w:t xml:space="preserve">» - </w:t>
      </w:r>
      <w:r>
        <w:rPr>
          <w:rFonts w:ascii="Tinos" w:hAnsi="Tinos" w:eastAsia="Tinos" w:cs="Tinos"/>
          <w:sz w:val="22"/>
          <w:szCs w:val="22"/>
        </w:rPr>
      </w:r>
      <w:hyperlink r:id="rId11" w:tooltip="mailto:tuvaenergo@tv.rosseti-sib.ru" w:history="1">
        <w:r>
          <w:rPr>
            <w:rStyle w:val="1085"/>
            <w:rFonts w:ascii="Tinos" w:hAnsi="Tinos" w:eastAsia="Tinos" w:cs="Tinos"/>
            <w:sz w:val="22"/>
            <w:szCs w:val="22"/>
          </w:rPr>
        </w:r>
        <w:r>
          <w:rPr>
            <w:rFonts w:ascii="Tinos" w:hAnsi="Tinos" w:eastAsia="Tinos" w:cs="Tinos"/>
            <w:color w:val="000000"/>
            <w:sz w:val="22"/>
            <w:szCs w:val="22"/>
            <w:highlight w:val="white"/>
          </w:rPr>
        </w:r>
        <w:r>
          <w:rPr>
            <w:rStyle w:val="1085"/>
            <w:rFonts w:ascii="Tinos" w:hAnsi="Tinos" w:eastAsia="Tinos" w:cs="Tinos"/>
            <w:color w:val="00488f"/>
            <w:sz w:val="22"/>
            <w:szCs w:val="22"/>
            <w:highlight w:val="white"/>
            <w:u w:val="none"/>
          </w:rPr>
          <w:t xml:space="preserve">info@tv.rosseti-sib.ru</w:t>
        </w:r>
        <w:r>
          <w:rPr>
            <w:rFonts w:ascii="Tinos" w:hAnsi="Tinos" w:eastAsia="Tinos" w:cs="Tinos"/>
            <w:sz w:val="22"/>
            <w:szCs w:val="22"/>
          </w:rPr>
        </w:r>
        <w:r>
          <w:rPr>
            <w:rStyle w:val="1085"/>
            <w:rFonts w:ascii="Tinos" w:hAnsi="Tinos" w:eastAsia="Tinos" w:cs="Tinos"/>
            <w:sz w:val="22"/>
            <w:szCs w:val="22"/>
          </w:rPr>
        </w:r>
      </w:hyperlink>
      <w:r>
        <w:rPr>
          <w:rFonts w:ascii="Tinos" w:hAnsi="Tinos" w:eastAsia="Tinos" w:cs="Tinos"/>
          <w:sz w:val="22"/>
          <w:szCs w:val="22"/>
        </w:rPr>
        <w:t xml:space="preserve">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numPr>
          <w:ilvl w:val="0"/>
          <w:numId w:val="48"/>
        </w:numPr>
        <w:ind w:left="0" w:right="0" w:firstLine="0"/>
        <w:spacing w:before="0"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i/>
          <w:sz w:val="22"/>
          <w:szCs w:val="22"/>
        </w:rPr>
        <w:t xml:space="preserve">(наименование Стороны): (адрес электронной почты).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76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</w:t>
      </w:r>
      <w:r>
        <w:rPr>
          <w:rFonts w:ascii="Tinos" w:hAnsi="Tinos" w:eastAsia="Tinos" w:cs="Tinos"/>
          <w:sz w:val="22"/>
          <w:szCs w:val="22"/>
        </w:rPr>
        <w:t xml:space="preserve">ан на разрешение суда по истечении 15 (пятнадцати) календарных дней с момента направления Покупателем претензии (требования) Поставщику.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 xml:space="preserve">Поставщик несет ответственность за налоговые риски, которые могут возникнуть у Покупателя при нарушении Поставщиком условий ст.54.1 НК РФ, в том числе в случае привлечения им субпоставщиков/субподрядчиков для исполнения обязательств по договору.</w:t>
      </w:r>
      <w:r>
        <w:rPr>
          <w:highlight w:val="white"/>
        </w:rPr>
      </w:r>
      <w:r>
        <w:rPr>
          <w:highlight w:val="white"/>
        </w:rPr>
      </w:r>
    </w:p>
    <w:p>
      <w:pPr>
        <w:pStyle w:val="1076"/>
        <w:ind w:left="0" w:righ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 xml:space="preserve">П</w:t>
      </w:r>
      <w:r>
        <w:rPr>
          <w:rFonts w:ascii="Tinos" w:hAnsi="Tinos" w:cs="Tinos"/>
          <w:sz w:val="22"/>
          <w:szCs w:val="22"/>
          <w:highlight w:val="white"/>
        </w:rPr>
        <w:t xml:space="preserve">оставщик обязан возместить Покупателю суммы предъявленных налоговым органом претензий по результатам проведения мероприятий налогового контроля (в том числе вне рамок выездных и камеральных налоговых проверок) в соответствии с требованиями ст. 54.1 НК РФ, </w:t>
      </w:r>
      <w:r>
        <w:rPr>
          <w:rFonts w:ascii="Tinos" w:hAnsi="Tinos" w:cs="Tinos"/>
          <w:sz w:val="22"/>
          <w:szCs w:val="22"/>
          <w:highlight w:val="white"/>
        </w:rPr>
        <w:t xml:space="preserve">в</w:t>
      </w:r>
      <w:r>
        <w:rPr>
          <w:rFonts w:ascii="Tinos" w:hAnsi="Tinos" w:cs="Tinos"/>
          <w:sz w:val="22"/>
          <w:szCs w:val="22"/>
          <w:highlight w:val="white"/>
        </w:rPr>
        <w:t xml:space="preserve">озникших из-за установления налоговым органом признаков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опе</w:t>
      </w:r>
      <w:r>
        <w:rPr>
          <w:rFonts w:ascii="Tinos" w:hAnsi="Tinos" w:cs="Tinos"/>
          <w:sz w:val="22"/>
          <w:szCs w:val="22"/>
          <w:highlight w:val="white"/>
        </w:rPr>
        <w:t xml:space="preserve">рации, не обусловленные разумными экономическими или иными причинами (целями делового характера), не установлено исполнение обязательств по договору надлежащим лицом, иных нарушений, вытекающих из положений ст. 54.1 НК РФ. </w:t>
      </w:r>
      <w:r>
        <w:rPr>
          <w:highlight w:val="white"/>
        </w:rPr>
      </w:r>
      <w:r>
        <w:rPr>
          <w:highlight w:val="white"/>
        </w:rPr>
      </w:r>
    </w:p>
    <w:p>
      <w:pPr>
        <w:pStyle w:val="1076"/>
        <w:ind w:left="0" w:righ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 xml:space="preserve">Основанием для возмещения Покупателю указанных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налогового законодательства.</w:t>
      </w:r>
      <w:r>
        <w:rPr>
          <w:highlight w:val="white"/>
        </w:rPr>
      </w:r>
      <w:r>
        <w:rPr>
          <w:highlight w:val="white"/>
        </w:rPr>
      </w:r>
    </w:p>
    <w:p>
      <w:pPr>
        <w:pStyle w:val="1076"/>
        <w:ind w:left="0" w:righ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 xml:space="preserve">П</w:t>
      </w:r>
      <w:r>
        <w:rPr>
          <w:rFonts w:ascii="Tinos" w:hAnsi="Tinos" w:cs="Tinos"/>
          <w:sz w:val="22"/>
          <w:szCs w:val="22"/>
          <w:highlight w:val="white"/>
        </w:rPr>
        <w:t xml:space="preserve">ри наличии у Покупателя не исполненных обязательств по оплате перед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до момента их возмеще</w:t>
      </w:r>
      <w:r>
        <w:rPr>
          <w:rFonts w:ascii="Tinos" w:hAnsi="Tinos" w:cs="Tinos"/>
          <w:sz w:val="22"/>
          <w:szCs w:val="22"/>
          <w:highlight w:val="white"/>
        </w:rPr>
        <w:t xml:space="preserve">ния Покупателю или урегулирования разногласий</w:t>
      </w:r>
      <w:r>
        <w:rPr>
          <w:rStyle w:val="1081"/>
          <w:rFonts w:ascii="Tinos" w:hAnsi="Tinos" w:cs="Tinos"/>
          <w:sz w:val="22"/>
          <w:szCs w:val="22"/>
          <w:highlight w:val="white"/>
        </w:rPr>
        <w:footnoteReference w:id="5"/>
      </w:r>
      <w:r>
        <w:rPr>
          <w:rFonts w:ascii="Tinos" w:hAnsi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0"/>
          <w:numId w:val="36"/>
        </w:numPr>
        <w:ind w:left="0" w:firstLine="0"/>
        <w:jc w:val="center"/>
        <w:keepNext/>
        <w:spacing w:after="0" w:line="17" w:lineRule="atLeast"/>
        <w:tabs>
          <w:tab w:val="left" w:pos="283" w:leader="none"/>
          <w:tab w:val="left" w:pos="425" w:leader="none"/>
        </w:tabs>
        <w:rPr>
          <w:rFonts w:ascii="Tinos" w:hAnsi="Tinos" w:cs="Tinos"/>
          <w:b/>
          <w:bCs/>
          <w:sz w:val="22"/>
          <w:szCs w:val="22"/>
          <w:highlight w:val="white"/>
        </w:rPr>
      </w:pPr>
      <w:r>
        <w:rPr>
          <w:rFonts w:ascii="Tinos" w:hAnsi="Tinos" w:eastAsia="Tinos" w:cs="Tinos"/>
          <w:b/>
          <w:bCs/>
          <w:sz w:val="22"/>
          <w:szCs w:val="22"/>
          <w:highlight w:val="white"/>
        </w:rPr>
      </w:r>
      <w:r>
        <w:rPr>
          <w:rFonts w:ascii="Tinos" w:hAnsi="Tinos" w:eastAsia="Tinos" w:cs="Tinos"/>
          <w:b/>
          <w:bCs/>
          <w:sz w:val="22"/>
          <w:szCs w:val="22"/>
          <w:highlight w:val="white"/>
        </w:rPr>
        <w:t xml:space="preserve">Обеспечение исполнения обязательств</w:t>
      </w:r>
      <w:r>
        <w:rPr>
          <w:rStyle w:val="1081"/>
          <w:rFonts w:ascii="Tinos" w:hAnsi="Tinos" w:eastAsia="Tinos" w:cs="Tinos"/>
          <w:b/>
          <w:bCs/>
          <w:sz w:val="22"/>
          <w:szCs w:val="22"/>
          <w:highlight w:val="white"/>
        </w:rPr>
        <w:footnoteReference w:id="6"/>
      </w:r>
      <w:r>
        <w:rPr>
          <w:rFonts w:ascii="Tinos" w:hAnsi="Tinos" w:cs="Tinos"/>
          <w:b/>
          <w:bCs/>
          <w:sz w:val="22"/>
          <w:szCs w:val="22"/>
          <w:highlight w:val="white"/>
        </w:rPr>
      </w:r>
      <w:r>
        <w:rPr>
          <w:rFonts w:ascii="Tinos" w:hAnsi="Tinos" w:cs="Tinos"/>
          <w:b/>
          <w:bCs/>
          <w:sz w:val="22"/>
          <w:szCs w:val="22"/>
          <w:highlight w:val="white"/>
        </w:rPr>
      </w:r>
    </w:p>
    <w:p>
      <w:pPr>
        <w:ind w:left="0" w:firstLine="0"/>
        <w:jc w:val="both"/>
        <w:keepNext/>
        <w:spacing w:after="0" w:line="17" w:lineRule="atLeast"/>
        <w:tabs>
          <w:tab w:val="left" w:pos="425" w:leader="none"/>
        </w:tabs>
        <w:rPr>
          <w:rFonts w:ascii="Tinos" w:hAnsi="Tinos" w:cs="Tinos"/>
          <w:b/>
          <w:bCs/>
          <w:sz w:val="22"/>
          <w:szCs w:val="22"/>
          <w:highlight w:val="white"/>
        </w:rPr>
      </w:pPr>
      <w:r>
        <w:rPr>
          <w:rFonts w:ascii="Tinos" w:hAnsi="Tinos" w:eastAsia="Tinos" w:cs="Tinos"/>
          <w:b/>
          <w:bCs/>
          <w:sz w:val="22"/>
          <w:szCs w:val="22"/>
          <w:highlight w:val="white"/>
        </w:rPr>
      </w:r>
      <w:r>
        <w:rPr>
          <w:rFonts w:ascii="Tinos" w:hAnsi="Tinos" w:eastAsia="Tinos" w:cs="Tinos"/>
          <w:b w:val="0"/>
          <w:bCs w:val="0"/>
          <w:sz w:val="22"/>
          <w:szCs w:val="22"/>
          <w:highlight w:val="white"/>
        </w:rPr>
        <w:t xml:space="preserve">6.1. </w:t>
      </w:r>
      <w:r>
        <w:rPr>
          <w:rFonts w:ascii="Tinos" w:hAnsi="Tinos" w:eastAsia="Tinos" w:cs="Tinos"/>
          <w:b w:val="0"/>
          <w:bCs w:val="0"/>
          <w:sz w:val="22"/>
          <w:szCs w:val="22"/>
          <w:highlight w:val="white"/>
        </w:rPr>
        <w:t xml:space="preserve">Поставщик должен предоставить обеспечение исполнения обязательств по Договору</w:t>
      </w:r>
      <w:r>
        <w:rPr>
          <w:rStyle w:val="1081"/>
          <w:rFonts w:ascii="Tinos" w:hAnsi="Tinos" w:eastAsia="Tinos" w:cs="Tinos"/>
          <w:b w:val="0"/>
          <w:bCs w:val="0"/>
          <w:sz w:val="22"/>
          <w:szCs w:val="22"/>
          <w:highlight w:val="white"/>
        </w:rPr>
        <w:footnoteReference w:id="7"/>
      </w:r>
      <w:r>
        <w:rPr>
          <w:rFonts w:ascii="Tinos" w:hAnsi="Tinos" w:eastAsia="Tinos" w:cs="Tinos"/>
          <w:b w:val="0"/>
          <w:bCs w:val="0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b w:val="0"/>
          <w:bCs w:val="0"/>
          <w:sz w:val="22"/>
          <w:szCs w:val="22"/>
          <w:highlight w:val="white"/>
        </w:rPr>
        <w:t xml:space="preserve">в соответствии с Приложением № 5 к настоящему Договору</w:t>
      </w:r>
      <w:r>
        <w:rPr>
          <w:rFonts w:ascii="Tinos" w:hAnsi="Tinos" w:eastAsia="Tinos" w:cs="Tinos"/>
          <w:b w:val="0"/>
          <w:bCs w:val="0"/>
          <w:sz w:val="22"/>
          <w:szCs w:val="22"/>
          <w:highlight w:val="white"/>
        </w:rPr>
        <w:t xml:space="preserve">. </w:t>
      </w:r>
      <w:r>
        <w:rPr>
          <w:rFonts w:ascii="Tinos" w:hAnsi="Tinos" w:eastAsia="Tinos" w:cs="Tinos"/>
          <w:b w:val="0"/>
          <w:bCs w:val="0"/>
          <w:sz w:val="22"/>
          <w:szCs w:val="22"/>
          <w:highlight w:val="white"/>
        </w:rPr>
        <w:t xml:space="preserve">Все расходы, связанные с предоставлением такого обеспечения, несет Поставщик.</w:t>
      </w:r>
      <w:r>
        <w:rPr>
          <w:rFonts w:ascii="Tinos" w:hAnsi="Tinos" w:cs="Tinos"/>
          <w:b/>
          <w:bCs/>
          <w:sz w:val="22"/>
          <w:szCs w:val="22"/>
          <w:highlight w:val="white"/>
        </w:rPr>
      </w:r>
      <w:r>
        <w:rPr>
          <w:rFonts w:ascii="Tinos" w:hAnsi="Tinos" w:cs="Tinos"/>
          <w:b/>
          <w:bCs/>
          <w:sz w:val="22"/>
          <w:szCs w:val="22"/>
          <w:highlight w:val="white"/>
        </w:rPr>
      </w:r>
    </w:p>
    <w:p>
      <w:pPr>
        <w:ind w:left="0" w:firstLine="0"/>
        <w:jc w:val="center"/>
        <w:keepNext/>
        <w:spacing w:after="0" w:line="17" w:lineRule="atLeast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7.  Обстоятельства непреодолимой силы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7.1. Стороны освобождаются от ответственности, если неисполнение, либо ненадлежащее исполн</w:t>
      </w:r>
      <w:r>
        <w:rPr>
          <w:rFonts w:ascii="Tinos" w:hAnsi="Tinos" w:eastAsia="Tinos" w:cs="Tinos"/>
          <w:sz w:val="22"/>
          <w:szCs w:val="22"/>
        </w:rPr>
        <w:t xml:space="preserve">ение принятых на себя обязательств вызвано действиями обстоятельств непреодолимой силы (п. 3 ст. 401 ГК РФ).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</w:t>
      </w:r>
      <w:r>
        <w:rPr>
          <w:rFonts w:ascii="Tinos" w:hAnsi="Tinos" w:eastAsia="Tinos" w:cs="Tinos"/>
          <w:sz w:val="22"/>
          <w:szCs w:val="22"/>
        </w:rPr>
        <w:t xml:space="preserve">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</w:t>
      </w:r>
      <w:r>
        <w:rPr>
          <w:rFonts w:ascii="Tinos" w:hAnsi="Tinos" w:eastAsia="Tinos" w:cs="Tinos"/>
          <w:sz w:val="22"/>
          <w:szCs w:val="22"/>
        </w:rPr>
        <w:t xml:space="preserve">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</w:t>
      </w:r>
      <w:r>
        <w:rPr>
          <w:rFonts w:ascii="Tinos" w:hAnsi="Tinos" w:eastAsia="Tinos" w:cs="Tinos"/>
          <w:sz w:val="22"/>
          <w:szCs w:val="22"/>
        </w:rPr>
        <w:t xml:space="preserve">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</w:t>
      </w:r>
      <w:r>
        <w:rPr>
          <w:rFonts w:ascii="Tinos" w:hAnsi="Tinos" w:eastAsia="Tinos" w:cs="Tinos"/>
          <w:sz w:val="22"/>
          <w:szCs w:val="22"/>
        </w:rPr>
        <w:t xml:space="preserve">по Договору либо обосновать невозможность их исполнения.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firstLine="0"/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7.2. 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</w:t>
      </w:r>
      <w:r>
        <w:rPr>
          <w:rFonts w:ascii="Tinos" w:hAnsi="Tinos" w:eastAsia="Tinos" w:cs="Tinos"/>
          <w:sz w:val="22"/>
          <w:szCs w:val="22"/>
        </w:rPr>
        <w:t xml:space="preserve">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</w:t>
      </w:r>
      <w:r>
        <w:rPr>
          <w:rFonts w:ascii="Tinos" w:hAnsi="Tinos" w:eastAsia="Tinos" w:cs="Tinos"/>
          <w:sz w:val="22"/>
          <w:szCs w:val="22"/>
        </w:rPr>
        <w:t xml:space="preserve">ещению убытков, связанных с прекращением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7.3. 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</w:t>
      </w:r>
      <w:r>
        <w:rPr>
          <w:rFonts w:ascii="Tinos" w:hAnsi="Tinos" w:eastAsia="Tinos" w:cs="Tinos"/>
          <w:sz w:val="22"/>
          <w:szCs w:val="22"/>
        </w:rPr>
        <w:t xml:space="preserve">ором срок.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firstLine="0"/>
        <w:jc w:val="center"/>
        <w:keepNext/>
        <w:spacing w:after="0" w:line="17" w:lineRule="atLeast"/>
        <w:tabs>
          <w:tab w:val="left" w:pos="567" w:leader="none"/>
        </w:tabs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8. Антикоррупционная оговорка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8.1. Поставщику известно о том, что </w:t>
      </w:r>
      <w:r>
        <w:rPr>
          <w:rFonts w:ascii="Tinos" w:hAnsi="Tinos" w:eastAsia="Tinos" w:cs="Tinos"/>
          <w:sz w:val="22"/>
          <w:szCs w:val="22"/>
        </w:rPr>
        <w:t xml:space="preserve">АО «</w:t>
      </w:r>
      <w:r>
        <w:rPr>
          <w:rFonts w:ascii="Tinos" w:hAnsi="Tinos" w:eastAsia="Tinos" w:cs="Tinos"/>
          <w:sz w:val="22"/>
          <w:szCs w:val="22"/>
        </w:rPr>
        <w:t xml:space="preserve">Россети</w:t>
      </w:r>
      <w:r>
        <w:rPr>
          <w:rFonts w:ascii="Tinos" w:hAnsi="Tinos" w:eastAsia="Tinos" w:cs="Tinos"/>
          <w:sz w:val="22"/>
          <w:szCs w:val="22"/>
        </w:rPr>
        <w:t xml:space="preserve"> Сибирь </w:t>
      </w:r>
      <w:r>
        <w:rPr>
          <w:rFonts w:ascii="Tinos" w:hAnsi="Tinos" w:eastAsia="Tinos" w:cs="Tinos"/>
          <w:sz w:val="22"/>
          <w:szCs w:val="22"/>
        </w:rPr>
        <w:t xml:space="preserve">Тываэнерго</w:t>
      </w:r>
      <w:r>
        <w:rPr>
          <w:rFonts w:ascii="Tinos" w:hAnsi="Tinos" w:eastAsia="Tinos" w:cs="Tinos"/>
          <w:sz w:val="22"/>
          <w:szCs w:val="22"/>
        </w:rPr>
        <w:t xml:space="preserve">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</w:t>
      </w:r>
      <w:r>
        <w:rPr>
          <w:rFonts w:ascii="Tinos" w:hAnsi="Tinos" w:eastAsia="Tinos" w:cs="Tinos"/>
          <w:sz w:val="22"/>
          <w:szCs w:val="22"/>
        </w:rPr>
        <w:t xml:space="preserve">коррупционных </w:t>
      </w:r>
      <w:r>
        <w:rPr>
          <w:rFonts w:ascii="Tinos" w:hAnsi="Tinos" w:eastAsia="Tinos" w:cs="Tinos"/>
          <w:sz w:val="22"/>
          <w:szCs w:val="22"/>
        </w:rPr>
        <w:t xml:space="preserve">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8.2. Поставщик настоящим подтверждает, что он ознакомился с Антикоррупционной х</w:t>
      </w:r>
      <w:r>
        <w:rPr>
          <w:rFonts w:ascii="Tinos" w:hAnsi="Tinos" w:eastAsia="Tinos" w:cs="Tinos"/>
          <w:sz w:val="22"/>
          <w:szCs w:val="22"/>
        </w:rPr>
        <w:t xml:space="preserve">артией российского бизнеса и Антикоррупционной политикой, представленных в разделе «Антикоррупционная политика» на официальном сайте АО «</w:t>
      </w:r>
      <w:r>
        <w:rPr>
          <w:rFonts w:ascii="Tinos" w:hAnsi="Tinos" w:eastAsia="Tinos" w:cs="Tinos"/>
          <w:sz w:val="22"/>
          <w:szCs w:val="22"/>
        </w:rPr>
        <w:t xml:space="preserve">Россети</w:t>
      </w:r>
      <w:r>
        <w:rPr>
          <w:rFonts w:ascii="Tinos" w:hAnsi="Tinos" w:eastAsia="Tinos" w:cs="Tinos"/>
          <w:sz w:val="22"/>
          <w:szCs w:val="22"/>
        </w:rPr>
        <w:t xml:space="preserve"> Сибирь </w:t>
      </w:r>
      <w:r>
        <w:rPr>
          <w:rFonts w:ascii="Tinos" w:hAnsi="Tinos" w:eastAsia="Tinos" w:cs="Tinos"/>
          <w:sz w:val="22"/>
          <w:szCs w:val="22"/>
        </w:rPr>
        <w:t xml:space="preserve">Тываэнерго</w:t>
      </w:r>
      <w:r>
        <w:rPr>
          <w:rFonts w:ascii="Tinos" w:hAnsi="Tinos" w:eastAsia="Tinos" w:cs="Tinos"/>
          <w:sz w:val="22"/>
          <w:szCs w:val="22"/>
        </w:rPr>
        <w:t xml:space="preserve">» по адресу: </w:t>
      </w:r>
      <w:hyperlink r:id="rId12" w:tooltip="http://www.tuvaenergo.ru/buy/corruption.php" w:history="1">
        <w:r>
          <w:rPr>
            <w:rStyle w:val="1085"/>
            <w:rFonts w:ascii="Tinos" w:hAnsi="Tinos" w:eastAsia="Tinos" w:cs="Tinos"/>
            <w:sz w:val="22"/>
            <w:szCs w:val="22"/>
          </w:rPr>
          <w:t xml:space="preserve">http://www.tuvaenergo.ru/buy/corruption.php</w:t>
        </w:r>
      </w:hyperlink>
      <w:r>
        <w:rPr>
          <w:rFonts w:ascii="Tinos" w:hAnsi="Tinos" w:eastAsia="Tinos" w:cs="Tinos"/>
          <w:sz w:val="22"/>
          <w:szCs w:val="22"/>
        </w:rPr>
        <w:t xml:space="preserve"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</w:t>
      </w:r>
      <w:r>
        <w:rPr>
          <w:rFonts w:ascii="Tinos" w:hAnsi="Tinos" w:eastAsia="Tinos" w:cs="Tinos"/>
          <w:sz w:val="22"/>
          <w:szCs w:val="22"/>
        </w:rPr>
        <w:t xml:space="preserve">дических лиц, действующих по Договору, включая собственников, должностных лиц, работников и/или посредников.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8.3. При исполнении своих обязательств по Договору Стороны, их аффилированные лица, работники или посредники не выплачивают, не предлагают выплатить и н</w:t>
      </w:r>
      <w:r>
        <w:rPr>
          <w:rFonts w:ascii="Tinos" w:hAnsi="Tinos" w:eastAsia="Tinos" w:cs="Tinos"/>
          <w:sz w:val="22"/>
          <w:szCs w:val="22"/>
        </w:rPr>
        <w:t xml:space="preserve">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96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отказыв</w:t>
      </w:r>
      <w:r>
        <w:rPr>
          <w:rFonts w:ascii="Tinos" w:hAnsi="Tinos" w:eastAsia="Tinos" w:cs="Tinos"/>
          <w:sz w:val="22"/>
          <w:szCs w:val="22"/>
        </w:rPr>
        <w:t xml:space="preserve">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</w:t>
      </w:r>
      <w:r>
        <w:rPr>
          <w:rFonts w:ascii="Tinos" w:hAnsi="Tinos" w:eastAsia="Tinos" w:cs="Tinos"/>
          <w:sz w:val="22"/>
          <w:szCs w:val="22"/>
        </w:rPr>
        <w:t xml:space="preserve">зависимость и направленным на обеспечение выполнения этим работником каких-либо действий в пользу стимулирующей его Стороны.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8.4. В случае возникновения у одной из Сторон подозрений, что произошло или может произойти нарушение каких-либо положений пунктов 8.1 –</w:t>
      </w:r>
      <w:r>
        <w:rPr>
          <w:rFonts w:ascii="Tinos" w:hAnsi="Tinos" w:eastAsia="Tinos" w:cs="Tinos"/>
          <w:sz w:val="22"/>
          <w:szCs w:val="22"/>
        </w:rPr>
        <w:t xml:space="preserve">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</w:t>
      </w:r>
      <w:r>
        <w:rPr>
          <w:rFonts w:ascii="Tinos" w:hAnsi="Tinos" w:eastAsia="Tinos" w:cs="Tinos"/>
          <w:sz w:val="22"/>
          <w:szCs w:val="22"/>
        </w:rPr>
        <w:t xml:space="preserve">зойдет. Это подтверждение должно быть направлено в течение десяти рабочих дней с даты направления письменного уведомления.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96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</w:t>
      </w:r>
      <w:r>
        <w:rPr>
          <w:rFonts w:ascii="Tinos" w:hAnsi="Tinos" w:eastAsia="Tinos" w:cs="Tinos"/>
          <w:sz w:val="22"/>
          <w:szCs w:val="22"/>
        </w:rPr>
        <w:t xml:space="preserve">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8.5. В случае нарушения одной из Сторон обязательств по соблюде</w:t>
      </w:r>
      <w:r>
        <w:rPr>
          <w:rFonts w:ascii="Tinos" w:hAnsi="Tinos" w:eastAsia="Tinos" w:cs="Tinos"/>
          <w:sz w:val="22"/>
          <w:szCs w:val="22"/>
        </w:rPr>
        <w:t xml:space="preserve">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</w:t>
      </w:r>
      <w:r>
        <w:rPr>
          <w:rFonts w:ascii="Tinos" w:hAnsi="Tinos" w:eastAsia="Tinos" w:cs="Tinos"/>
          <w:sz w:val="22"/>
          <w:szCs w:val="22"/>
        </w:rPr>
        <w:t xml:space="preserve">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</w:t>
      </w:r>
      <w:r>
        <w:rPr>
          <w:rFonts w:ascii="Tinos" w:hAnsi="Tinos" w:eastAsia="Tinos" w:cs="Tinos"/>
          <w:sz w:val="22"/>
          <w:szCs w:val="22"/>
        </w:rPr>
        <w:t xml:space="preserve">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9.  Конфиденциальность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76"/>
        <w:ind w:left="0" w:firstLine="0"/>
        <w:spacing w:before="0" w:after="0" w:line="17" w:lineRule="atLeast"/>
        <w:tabs>
          <w:tab w:val="left" w:pos="426" w:leader="none"/>
          <w:tab w:val="left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9.1. Стороны не вправе раскрывать третьим лицам представляемую друг другу юридическую, финансовую и иную информаци</w:t>
      </w:r>
      <w:r>
        <w:rPr>
          <w:rFonts w:ascii="Tinos" w:hAnsi="Tinos" w:eastAsia="Tinos" w:cs="Tinos"/>
          <w:sz w:val="22"/>
          <w:szCs w:val="22"/>
        </w:rPr>
        <w:t xml:space="preserve">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</w:t>
      </w:r>
      <w:r>
        <w:rPr>
          <w:rFonts w:ascii="Tinos" w:hAnsi="Tinos" w:eastAsia="Tinos" w:cs="Tinos"/>
          <w:sz w:val="22"/>
          <w:szCs w:val="22"/>
        </w:rPr>
        <w:t xml:space="preserve"> причинам эта информация не должна раскрываться.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ind w:left="0" w:firstLine="0"/>
        <w:spacing w:before="0" w:after="0" w:line="17" w:lineRule="atLeast"/>
        <w:tabs>
          <w:tab w:val="left" w:pos="426" w:leader="none"/>
          <w:tab w:val="left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9.2. 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ind w:left="0" w:firstLine="0"/>
        <w:spacing w:before="0" w:after="0" w:line="17" w:lineRule="atLeast"/>
        <w:tabs>
          <w:tab w:val="left" w:pos="283" w:leader="none"/>
          <w:tab w:val="left" w:pos="426" w:leader="none"/>
          <w:tab w:val="left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9.3. Предусмот</w:t>
      </w:r>
      <w:r>
        <w:rPr>
          <w:rFonts w:ascii="Tinos" w:hAnsi="Tinos" w:eastAsia="Tinos" w:cs="Tinos"/>
          <w:sz w:val="22"/>
          <w:szCs w:val="22"/>
        </w:rPr>
        <w:t xml:space="preserve">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ind w:left="0" w:firstLine="0"/>
        <w:spacing w:before="0" w:after="0" w:line="17" w:lineRule="atLeast"/>
        <w:tabs>
          <w:tab w:val="left" w:pos="426" w:leader="none"/>
          <w:tab w:val="left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9.4. Любой ущерб, причиненный Стороне несоблюдением требований раздела 9. настоящего Договора, </w:t>
      </w:r>
      <w:r>
        <w:rPr>
          <w:rFonts w:ascii="Tinos" w:hAnsi="Tinos" w:eastAsia="Tinos" w:cs="Tinos"/>
          <w:sz w:val="22"/>
          <w:szCs w:val="22"/>
        </w:rPr>
        <w:t xml:space="preserve">подлежит полному возмещению виновной Стороной.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9.5. 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</w:t>
      </w:r>
      <w:r>
        <w:rPr>
          <w:rFonts w:ascii="Tinos" w:hAnsi="Tinos" w:eastAsia="Tinos" w:cs="Tinos"/>
          <w:sz w:val="22"/>
          <w:szCs w:val="22"/>
        </w:rPr>
        <w:t xml:space="preserve">ржденной в ПАО «</w:t>
      </w:r>
      <w:r>
        <w:rPr>
          <w:rFonts w:ascii="Tinos" w:hAnsi="Tinos" w:eastAsia="Tinos" w:cs="Tinos"/>
          <w:sz w:val="22"/>
          <w:szCs w:val="22"/>
        </w:rPr>
        <w:t xml:space="preserve">Россети</w:t>
      </w:r>
      <w:r>
        <w:rPr>
          <w:rFonts w:ascii="Tinos" w:hAnsi="Tinos" w:eastAsia="Tinos" w:cs="Tinos"/>
          <w:sz w:val="22"/>
          <w:szCs w:val="22"/>
        </w:rPr>
        <w:t xml:space="preserve"> Сибирь».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10.  Уступка права требования</w:t>
      </w:r>
      <w:r>
        <w:rPr>
          <w:rStyle w:val="1081"/>
          <w:rFonts w:ascii="Tinos" w:hAnsi="Tinos" w:eastAsia="Tinos" w:cs="Tinos"/>
          <w:b/>
          <w:sz w:val="22"/>
          <w:szCs w:val="22"/>
        </w:rPr>
        <w:footnoteReference w:id="8"/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10.1. 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</w:t>
      </w:r>
      <w:r>
        <w:rPr>
          <w:rFonts w:ascii="Tinos" w:hAnsi="Tinos" w:eastAsia="Tinos" w:cs="Tinos"/>
          <w:sz w:val="22"/>
          <w:szCs w:val="22"/>
        </w:rPr>
        <w:t xml:space="preserve">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10.2. 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</w:t>
      </w:r>
      <w:r>
        <w:rPr>
          <w:rFonts w:ascii="Tinos" w:hAnsi="Tinos" w:eastAsia="Tinos" w:cs="Tinos"/>
          <w:sz w:val="22"/>
          <w:szCs w:val="22"/>
        </w:rPr>
        <w:t xml:space="preserve">сса).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10.3.</w:t>
      </w:r>
      <w:r>
        <w:rPr>
          <w:rFonts w:ascii="Tinos" w:hAnsi="Tinos" w:eastAsia="Tinos" w:cs="Tinos"/>
          <w:sz w:val="22"/>
          <w:szCs w:val="22"/>
        </w:rPr>
        <w:tab/>
        <w:t xml:space="preserve">В случае переуступки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</w:t>
      </w:r>
      <w:r>
        <w:rPr>
          <w:rFonts w:ascii="Tinos" w:hAnsi="Tinos" w:eastAsia="Tinos" w:cs="Tinos"/>
          <w:sz w:val="22"/>
          <w:szCs w:val="22"/>
        </w:rPr>
        <w:t xml:space="preserve">сти заключенного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10.4.</w:t>
      </w:r>
      <w:r>
        <w:rPr>
          <w:rFonts w:ascii="Tinos" w:hAnsi="Tinos" w:eastAsia="Tinos" w:cs="Tinos"/>
          <w:sz w:val="22"/>
          <w:szCs w:val="22"/>
        </w:rPr>
        <w:tab/>
        <w:t xml:space="preserve"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</w:t>
      </w:r>
      <w:r>
        <w:rPr>
          <w:rFonts w:ascii="Tinos" w:hAnsi="Tinos" w:eastAsia="Tinos" w:cs="Tinos"/>
          <w:sz w:val="22"/>
          <w:szCs w:val="22"/>
        </w:rPr>
        <w:t xml:space="preserve">еуступке (включая все дополнительные соглашения и приложения к нему), в Департамент финансов ПАО «</w:t>
      </w:r>
      <w:r>
        <w:rPr>
          <w:rFonts w:ascii="Tinos" w:hAnsi="Tinos" w:eastAsia="Tinos" w:cs="Tinos"/>
          <w:sz w:val="22"/>
          <w:szCs w:val="22"/>
        </w:rPr>
        <w:t xml:space="preserve">Россети</w:t>
      </w:r>
      <w:r>
        <w:rPr>
          <w:rFonts w:ascii="Tinos" w:hAnsi="Tinos" w:eastAsia="Tinos" w:cs="Tinos"/>
          <w:sz w:val="22"/>
          <w:szCs w:val="22"/>
        </w:rPr>
        <w:t xml:space="preserve">» на адрес электронной почты </w:t>
      </w:r>
      <w:hyperlink r:id="rId13" w:tooltip="mailto:cfd@rosseti.ru" w:history="1">
        <w:r>
          <w:rPr>
            <w:rStyle w:val="1085"/>
            <w:rFonts w:ascii="Tinos" w:hAnsi="Tinos" w:eastAsia="Tinos" w:cs="Tinos"/>
            <w:sz w:val="22"/>
            <w:szCs w:val="22"/>
          </w:rPr>
          <w:t xml:space="preserve">cfd@rosseti.ru</w:t>
        </w:r>
      </w:hyperlink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11.  Толкование договора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76"/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11.1. Все документы, коррес</w:t>
      </w:r>
      <w:r>
        <w:rPr>
          <w:rFonts w:ascii="Tinos" w:hAnsi="Tinos" w:eastAsia="Tinos" w:cs="Tinos"/>
          <w:sz w:val="22"/>
          <w:szCs w:val="22"/>
        </w:rPr>
        <w:t xml:space="preserve">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11.2. Настоящий Договор в соответствии с</w:t>
      </w:r>
      <w:r>
        <w:rPr>
          <w:rFonts w:ascii="Tinos" w:hAnsi="Tinos" w:eastAsia="Tinos" w:cs="Tinos"/>
          <w:sz w:val="22"/>
          <w:szCs w:val="22"/>
        </w:rPr>
        <w:t xml:space="preserve">о ст. 431 ГК РФ подлежит толкованию с учетом буквального значения содержащихся в нем слов и выражений.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12.  Особые условия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76"/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12.1. Поставщик обязуется предоставлять Покупателю: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96"/>
        <w:numPr>
          <w:ilvl w:val="0"/>
          <w:numId w:val="4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информацию о полной цепочке собственников, включая конечных бенефициаров, а также о состав</w:t>
      </w:r>
      <w:r>
        <w:rPr>
          <w:rFonts w:ascii="Tinos" w:hAnsi="Tinos" w:eastAsia="Tinos" w:cs="Tinos"/>
          <w:sz w:val="22"/>
          <w:szCs w:val="22"/>
        </w:rPr>
        <w:t xml:space="preserve">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</w:t>
      </w:r>
      <w:r>
        <w:rPr>
          <w:rFonts w:ascii="Tinos" w:hAnsi="Tinos" w:eastAsia="Tinos" w:cs="Tinos"/>
          <w:sz w:val="22"/>
          <w:szCs w:val="22"/>
        </w:rPr>
        <w:t xml:space="preserve"> № 2 к настоящему Договору, а также в формате </w:t>
      </w:r>
      <w:r>
        <w:rPr>
          <w:rFonts w:ascii="Tinos" w:hAnsi="Tinos" w:eastAsia="Tinos" w:cs="Tinos"/>
          <w:sz w:val="22"/>
          <w:szCs w:val="22"/>
        </w:rPr>
        <w:t xml:space="preserve">Excel</w:t>
      </w:r>
      <w:r>
        <w:rPr>
          <w:rFonts w:ascii="Tinos" w:hAnsi="Tinos" w:eastAsia="Tinos" w:cs="Tinos"/>
          <w:sz w:val="22"/>
          <w:szCs w:val="22"/>
        </w:rPr>
        <w:t xml:space="preserve"> и PDF на адрес электронной почты </w:t>
      </w:r>
      <w:hyperlink r:id="rId14" w:tooltip="mailto:EvtifevaDV@tv.rosseti-sib.ru" w:history="1">
        <w:r>
          <w:rPr>
            <w:rStyle w:val="1085"/>
            <w:rFonts w:ascii="Tinos" w:hAnsi="Tinos" w:eastAsia="Tinos" w:cs="Tinos"/>
            <w:sz w:val="22"/>
            <w:szCs w:val="22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96"/>
        <w:numPr>
          <w:ilvl w:val="0"/>
          <w:numId w:val="4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информацию о привлечении Поставщиком к исполне</w:t>
      </w:r>
      <w:r>
        <w:rPr>
          <w:rFonts w:ascii="Tinos" w:hAnsi="Tinos" w:eastAsia="Tinos" w:cs="Tinos"/>
          <w:sz w:val="22"/>
          <w:szCs w:val="22"/>
        </w:rPr>
        <w:t xml:space="preserve">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</w:t>
      </w:r>
      <w:r>
        <w:rPr>
          <w:rFonts w:ascii="Tinos" w:hAnsi="Tinos" w:eastAsia="Tinos" w:cs="Tinos"/>
          <w:sz w:val="22"/>
          <w:szCs w:val="22"/>
        </w:rPr>
        <w:t xml:space="preserve">сле конечных бенефициаров (вместе с копиями подтверждающих документов), по форме, указанной в Приложении № 2 к настоящему Договору, а также в формате </w:t>
      </w:r>
      <w:r>
        <w:rPr>
          <w:rFonts w:ascii="Tinos" w:hAnsi="Tinos" w:eastAsia="Tinos" w:cs="Tinos"/>
          <w:sz w:val="22"/>
          <w:szCs w:val="22"/>
        </w:rPr>
        <w:t xml:space="preserve">Excel</w:t>
      </w:r>
      <w:r>
        <w:rPr>
          <w:rFonts w:ascii="Tinos" w:hAnsi="Tinos" w:eastAsia="Tinos" w:cs="Tinos"/>
          <w:sz w:val="22"/>
          <w:szCs w:val="22"/>
        </w:rPr>
        <w:t xml:space="preserve"> и PDF на адрес электронной почты </w:t>
      </w:r>
      <w:hyperlink r:id="rId15" w:tooltip="mailto:EvtifevaDV@tv.rosseti-sib.ru" w:history="1">
        <w:r>
          <w:rPr>
            <w:rStyle w:val="1085"/>
            <w:rFonts w:ascii="Tinos" w:hAnsi="Tinos" w:eastAsia="Tinos" w:cs="Tinos"/>
            <w:sz w:val="22"/>
            <w:szCs w:val="22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</w:t>
      </w:r>
      <w:r>
        <w:rPr>
          <w:rFonts w:ascii="Tinos" w:hAnsi="Tinos" w:eastAsia="Tinos" w:cs="Tinos"/>
          <w:sz w:val="22"/>
          <w:szCs w:val="22"/>
        </w:rPr>
        <w:t xml:space="preserve">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</w:t>
      </w:r>
      <w:r>
        <w:rPr>
          <w:rFonts w:ascii="Tinos" w:hAnsi="Tinos" w:eastAsia="Tinos" w:cs="Tinos"/>
          <w:sz w:val="22"/>
          <w:szCs w:val="22"/>
        </w:rPr>
        <w:t xml:space="preserve">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</w:t>
      </w:r>
      <w:r>
        <w:rPr>
          <w:rFonts w:ascii="Tinos" w:hAnsi="Tinos" w:eastAsia="Tinos" w:cs="Tinos"/>
          <w:sz w:val="22"/>
          <w:szCs w:val="22"/>
        </w:rPr>
        <w:t xml:space="preserve">дарных дней с даты наступления соответствующего события (юридического факта) способом, позволяющим подтвердить дату получения и в формате </w:t>
      </w:r>
      <w:r>
        <w:rPr>
          <w:rFonts w:ascii="Tinos" w:hAnsi="Tinos" w:eastAsia="Tinos" w:cs="Tinos"/>
          <w:sz w:val="22"/>
          <w:szCs w:val="22"/>
        </w:rPr>
        <w:t xml:space="preserve">Excel</w:t>
      </w:r>
      <w:r>
        <w:rPr>
          <w:rFonts w:ascii="Tinos" w:hAnsi="Tinos" w:eastAsia="Tinos" w:cs="Tinos"/>
          <w:sz w:val="22"/>
          <w:szCs w:val="22"/>
        </w:rPr>
        <w:t xml:space="preserve"> и PDF на адрес электронной почты </w:t>
      </w:r>
      <w:hyperlink r:id="rId16" w:tooltip="mailto:EvtifevaDV@tv.rosseti-sib.ru" w:history="1">
        <w:r>
          <w:rPr>
            <w:rStyle w:val="1085"/>
            <w:rFonts w:ascii="Tinos" w:hAnsi="Tinos" w:eastAsia="Tinos" w:cs="Tinos"/>
            <w:sz w:val="22"/>
            <w:szCs w:val="22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</w:t>
      </w:r>
      <w:r>
        <w:rPr>
          <w:rFonts w:ascii="Tinos" w:hAnsi="Tinos" w:eastAsia="Tinos" w:cs="Tinos"/>
          <w:sz w:val="22"/>
          <w:szCs w:val="22"/>
        </w:rPr>
        <w:t xml:space="preserve">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12.2. 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письменно уведомив об этом Постав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щика</w:t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12.3.  Поставщик гарантирует, что: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numPr>
          <w:ilvl w:val="0"/>
          <w:numId w:val="44"/>
        </w:numPr>
        <w:ind w:left="0" w:right="0" w:firstLine="0"/>
        <w:spacing w:before="0"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зарегистрирован в ЕГРЮЛ надлежащим образом;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96"/>
        <w:numPr>
          <w:ilvl w:val="0"/>
          <w:numId w:val="44"/>
        </w:numPr>
        <w:ind w:left="0" w:right="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96"/>
        <w:numPr>
          <w:ilvl w:val="0"/>
          <w:numId w:val="44"/>
        </w:numPr>
        <w:ind w:left="0" w:right="0" w:firstLine="0"/>
        <w:jc w:val="both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обязательства по сделкам (операциям) по настоящему Договору будут исполняться лицом, являющимся стороной насто</w:t>
      </w:r>
      <w:r>
        <w:rPr>
          <w:rFonts w:ascii="Tinos" w:hAnsi="Tinos" w:eastAsia="Tinos" w:cs="Tinos"/>
          <w:sz w:val="22"/>
          <w:szCs w:val="22"/>
        </w:rPr>
        <w:t xml:space="preserve">ящего договора и (или) лицом, которому обязательство по исполнению сделки (операции) передано по договору или закону;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96"/>
        <w:numPr>
          <w:ilvl w:val="0"/>
          <w:numId w:val="44"/>
        </w:numPr>
        <w:ind w:left="0" w:right="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располагает полномочиями, денежными, материальными и трудовыми ресурсами, необходимыми для исполнения обязательств по договору. (Услуги по</w:t>
      </w:r>
      <w:r>
        <w:rPr>
          <w:rFonts w:ascii="Tinos" w:hAnsi="Tinos" w:eastAsia="Tinos" w:cs="Tinos"/>
          <w:sz w:val="22"/>
          <w:szCs w:val="22"/>
        </w:rPr>
        <w:t xml:space="preserve"> перевозке ТМЦ, если транспорт не является собственностью контрагента, либо не находится у него в аренде.) В случае</w:t>
      </w:r>
      <w:r>
        <w:rPr>
          <w:rFonts w:ascii="Tinos" w:hAnsi="Tinos" w:eastAsia="Tinos" w:cs="Tinos"/>
          <w:sz w:val="22"/>
          <w:szCs w:val="22"/>
        </w:rPr>
        <w:t xml:space="preserve"> привлечения к исполнению настоящего договора третьих лиц Поставщик предоставляет Покупателю документы, подтверждающие наличие договорных отн</w:t>
      </w:r>
      <w:r>
        <w:rPr>
          <w:rFonts w:ascii="Tinos" w:hAnsi="Tinos" w:eastAsia="Tinos" w:cs="Tinos"/>
          <w:sz w:val="22"/>
          <w:szCs w:val="22"/>
        </w:rPr>
        <w:t xml:space="preserve">ошений с указанными лицами и фактическое исполнение обязательств по данной сделке;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96"/>
        <w:numPr>
          <w:ilvl w:val="0"/>
          <w:numId w:val="3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</w:t>
      </w:r>
      <w:r>
        <w:rPr>
          <w:rFonts w:ascii="Tinos" w:hAnsi="Tinos" w:eastAsia="Tinos" w:cs="Tinos"/>
          <w:sz w:val="22"/>
          <w:szCs w:val="22"/>
        </w:rPr>
        <w:t xml:space="preserve">й;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96"/>
        <w:numPr>
          <w:ilvl w:val="0"/>
          <w:numId w:val="3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96"/>
        <w:numPr>
          <w:ilvl w:val="0"/>
          <w:numId w:val="3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ведет бухгалтерский учет и составляет бухгалтерскую отчетность в соответствии с законодательством Российской Феде</w:t>
      </w:r>
      <w:r>
        <w:rPr>
          <w:rFonts w:ascii="Tinos" w:hAnsi="Tinos" w:eastAsia="Tinos" w:cs="Tinos"/>
          <w:sz w:val="22"/>
          <w:szCs w:val="22"/>
        </w:rPr>
        <w:t xml:space="preserve">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96"/>
        <w:numPr>
          <w:ilvl w:val="0"/>
          <w:numId w:val="3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ведет налоговый учет и составляет налоговую отчетность в соответствии с законодательством Российской Федерации, субъектов Росси</w:t>
      </w:r>
      <w:r>
        <w:rPr>
          <w:rFonts w:ascii="Tinos" w:hAnsi="Tinos" w:eastAsia="Tinos" w:cs="Tinos"/>
          <w:sz w:val="22"/>
          <w:szCs w:val="22"/>
        </w:rPr>
        <w:t xml:space="preserve">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96"/>
        <w:numPr>
          <w:ilvl w:val="0"/>
          <w:numId w:val="3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</w:rPr>
        <w:t xml:space="preserve"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</w:t>
      </w:r>
      <w:r>
        <w:rPr>
          <w:rFonts w:ascii="Tinos" w:hAnsi="Tinos" w:eastAsia="Tinos" w:cs="Tinos"/>
          <w:sz w:val="22"/>
          <w:szCs w:val="22"/>
        </w:rPr>
        <w:t xml:space="preserve">овом учете, в бухгалтерской и налоговой отчетности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6"/>
        <w:numPr>
          <w:ilvl w:val="0"/>
          <w:numId w:val="3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  <w:t xml:space="preserve"> не допускает, и не является организатором, сбыта заведомо подложных счетов-фактур и(или) представления в налоговые органы подложных налоговых деклараций (расчетов);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6"/>
        <w:numPr>
          <w:ilvl w:val="0"/>
          <w:numId w:val="3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своевременно и в полном объеме уплачивает налоги, сборы и страховые взносы;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6"/>
        <w:numPr>
          <w:ilvl w:val="0"/>
          <w:numId w:val="3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отраж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ает в налоговой отчетности по НДС все суммы НДС, предъявленные Покупателю;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96"/>
        <w:numPr>
          <w:ilvl w:val="0"/>
          <w:numId w:val="3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6"/>
        <w:ind w:left="0" w:firstLine="0"/>
        <w:spacing w:before="0" w:after="0" w:line="17" w:lineRule="atLeast"/>
        <w:tabs>
          <w:tab w:val="num" w:pos="567" w:leader="none"/>
          <w:tab w:val="clear" w:pos="644" w:leader="none"/>
        </w:tabs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 xml:space="preserve">12.4.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В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качестве подтверждения заверений и гарантий, указанных в п. 12.3. Договора, Поставщик обязан на момент поставки предоставить Покупателю Выписку из сервиса оценки юридических лиц (предусмотрена Методикой проведения оценки юридического лица на базе интерак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тивного сервиса "Личный кабинет налогоплательщика юридического лица" АИС "Налог-3").</w:t>
      </w:r>
      <w:r>
        <w:rPr>
          <w:highlight w:val="white"/>
        </w:rPr>
      </w:r>
      <w:r>
        <w:rPr>
          <w:highlight w:val="white"/>
        </w:rPr>
      </w:r>
    </w:p>
    <w:p>
      <w:pPr>
        <w:pStyle w:val="1076"/>
        <w:ind w:left="0" w:firstLine="0"/>
        <w:spacing w:before="0" w:after="0" w:line="17" w:lineRule="atLeast"/>
        <w:tabs>
          <w:tab w:val="num" w:pos="567" w:leader="none"/>
          <w:tab w:val="clear" w:pos="644" w:leader="none"/>
        </w:tabs>
        <w:rPr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При привлечении к исполнению договора субпоставщиков/субподрядчиков, указанный выше документ, дополнительно представляется в отношении каждого привлеченного субпоставщика/субподрядчика, участвовавшего в исполнении Договора.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ри выявлении объективных признаков отсутствия или недостаточности у Поставщика  (субпоставщиков/субподрядчиков при их привлечении) материально-технических и трудовых ресурсов необходимых для исполнения обязательств по договору, наличия иных факторов влекущ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их риски предъявления претензий Покупателю в соответствии со ст. 54.1 НК РФ, либо ст.173.3 НК РФ, Покупатель имеет право не осуществлять приемку Товара до момента урегулирования выявленных недостатков.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76"/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12.5. Если Поставщик нарушит гарантии (любую одну, несколько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или все вместе), указанные в п. 12.3. настоящего Договора, и </w:t>
      </w:r>
      <w:r>
        <w:rPr>
          <w:rFonts w:ascii="Tinos" w:hAnsi="Tinos" w:eastAsia="Tinos" w:cs="Tinos"/>
          <w:sz w:val="22"/>
          <w:szCs w:val="22"/>
        </w:rPr>
        <w:t xml:space="preserve">это повлечет: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96"/>
        <w:numPr>
          <w:ilvl w:val="0"/>
          <w:numId w:val="34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предъявление налоговыми органами требований к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</w:t>
      </w:r>
      <w:r>
        <w:rPr>
          <w:rFonts w:ascii="Tinos" w:hAnsi="Tinos" w:eastAsia="Tinos" w:cs="Tinos"/>
          <w:sz w:val="22"/>
          <w:szCs w:val="22"/>
        </w:rPr>
        <w:t xml:space="preserve"> прибыли или включить НДС в состав налоговых вычетов и(или)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96"/>
        <w:numPr>
          <w:ilvl w:val="0"/>
          <w:numId w:val="34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предъявление третьими лицами, купившими у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Покупателя</w:t>
      </w:r>
      <w:r>
        <w:rPr>
          <w:rFonts w:ascii="Tinos" w:hAnsi="Tinos" w:eastAsia="Tinos" w:cs="Tinos"/>
          <w:sz w:val="22"/>
          <w:szCs w:val="22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о возмещении убытков в виде нач</w:t>
      </w:r>
      <w:r>
        <w:rPr>
          <w:rFonts w:ascii="Tinos" w:hAnsi="Tinos" w:eastAsia="Tinos" w:cs="Tinos"/>
          <w:sz w:val="22"/>
          <w:szCs w:val="22"/>
        </w:rPr>
        <w:t xml:space="preserve">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то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</w:t>
      </w:r>
      <w:r>
        <w:rPr>
          <w:rFonts w:ascii="Tinos" w:hAnsi="Tinos" w:eastAsia="Tinos" w:cs="Tinos"/>
          <w:sz w:val="22"/>
          <w:szCs w:val="22"/>
        </w:rPr>
        <w:t xml:space="preserve"> обязуется возместить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убытки, который последний понес вследствие таких нарушений.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2"/>
          <w:sz w:val="22"/>
          <w:szCs w:val="22"/>
        </w:rPr>
        <w:t xml:space="preserve">12.6. Поставщик</w:t>
      </w:r>
      <w:r>
        <w:rPr>
          <w:rFonts w:ascii="Tinos" w:hAnsi="Tinos" w:eastAsia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 </w:t>
      </w:r>
      <w:r>
        <w:rPr>
          <w:rFonts w:ascii="Tinos" w:hAnsi="Tinos" w:eastAsia="Tinos" w:cs="Tinos"/>
          <w:sz w:val="22"/>
          <w:szCs w:val="22"/>
        </w:rPr>
        <w:t xml:space="preserve">все убытки последнего, возникшие в случаях, указанных в п. 12</w:t>
      </w:r>
      <w:r>
        <w:rPr>
          <w:rFonts w:ascii="Tinos" w:hAnsi="Tinos" w:eastAsia="Tinos" w:cs="Tinos"/>
          <w:sz w:val="22"/>
          <w:szCs w:val="22"/>
        </w:rPr>
        <w:t xml:space="preserve">.5. настоящего Договора. При этом факт оспаривания или </w:t>
      </w:r>
      <w:r>
        <w:rPr>
          <w:rFonts w:ascii="Tinos" w:hAnsi="Tinos" w:eastAsia="Tinos" w:cs="Tinos"/>
          <w:sz w:val="22"/>
          <w:szCs w:val="22"/>
        </w:rPr>
        <w:t xml:space="preserve">неоспаривания</w:t>
      </w:r>
      <w:r>
        <w:rPr>
          <w:rFonts w:ascii="Tinos" w:hAnsi="Tinos" w:eastAsia="Tinos" w:cs="Tinos"/>
          <w:sz w:val="22"/>
          <w:szCs w:val="22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r>
        <w:rPr>
          <w:rFonts w:ascii="Tinos" w:hAnsi="Tinos" w:eastAsia="Tinos" w:cs="Tinos"/>
          <w:sz w:val="22"/>
          <w:szCs w:val="22"/>
        </w:rPr>
        <w:t xml:space="preserve">неоспаривания</w:t>
      </w:r>
      <w:r>
        <w:rPr>
          <w:rFonts w:ascii="Tinos" w:hAnsi="Tinos" w:eastAsia="Tinos" w:cs="Tinos"/>
          <w:sz w:val="22"/>
          <w:szCs w:val="22"/>
        </w:rPr>
        <w:t xml:space="preserve"> в суде претензий третьих лиц не влияет на обязанность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Поставщика</w:t>
      </w:r>
      <w:r>
        <w:rPr>
          <w:rFonts w:ascii="Tinos" w:hAnsi="Tinos" w:eastAsia="Tinos" w:cs="Tinos"/>
          <w:sz w:val="22"/>
          <w:szCs w:val="22"/>
        </w:rPr>
        <w:t xml:space="preserve"> возместить имущественные потери.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13.  Заключительные положения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68"/>
        <w:ind w:left="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13.1.  Ответственный представитель за согласование всех вопросов по настоящему Договору: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8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______;</w:t>
      </w:r>
      <w:r>
        <w:rPr>
          <w:rFonts w:ascii="Tinos" w:hAnsi="Tinos" w:eastAsia="Tinos" w:cs="Tinos" w:eastAsiaTheme="minorEastAsia"/>
          <w:color w:val="0000ff"/>
          <w:sz w:val="22"/>
          <w:szCs w:val="22"/>
        </w:rPr>
        <w:t xml:space="preserve">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8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Покупателя - Батурин Николай Владимиро</w:t>
      </w:r>
      <w:r>
        <w:rPr>
          <w:rFonts w:ascii="Tinos" w:hAnsi="Tinos" w:eastAsia="Tinos" w:cs="Tinos"/>
          <w:sz w:val="22"/>
          <w:szCs w:val="22"/>
        </w:rPr>
        <w:t xml:space="preserve">вич, тел.: +7 (39422) 9-86-54,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8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e-mail: </w:t>
      </w:r>
      <w:hyperlink r:id="rId17" w:tooltip="mailto:BaturinNV@tuva.mrsk-sib.ru" w:history="1">
        <w:r>
          <w:rPr>
            <w:rStyle w:val="1085"/>
            <w:rFonts w:ascii="Tinos" w:hAnsi="Tinos" w:eastAsia="Tinos" w:cs="Tinos"/>
            <w:sz w:val="22"/>
            <w:szCs w:val="22"/>
            <w:lang w:val="en-US"/>
          </w:rPr>
        </w:r>
        <w:r>
          <w:rPr>
            <w:rFonts w:ascii="Tinos" w:hAnsi="Tinos" w:eastAsia="Tinos" w:cs="Tinos"/>
            <w:sz w:val="22"/>
            <w:szCs w:val="22"/>
          </w:rPr>
        </w:r>
        <w:r>
          <w:rPr>
            <w:rStyle w:val="1085"/>
            <w:rFonts w:ascii="Tinos" w:hAnsi="Tinos" w:eastAsia="Tinos" w:cs="Tinos"/>
            <w:sz w:val="22"/>
            <w:szCs w:val="22"/>
          </w:rPr>
          <w:t xml:space="preserve">Baturin_NV@tv.rosseti-sib.ru</w:t>
        </w:r>
        <w:r>
          <w:rPr>
            <w:rFonts w:ascii="Tinos" w:hAnsi="Tinos" w:eastAsia="Tinos" w:cs="Tinos"/>
            <w:sz w:val="22"/>
            <w:szCs w:val="22"/>
          </w:rPr>
        </w:r>
        <w:r>
          <w:rPr>
            <w:rStyle w:val="1085"/>
            <w:rFonts w:ascii="Tinos" w:hAnsi="Tinos" w:eastAsia="Tinos" w:cs="Tinos"/>
            <w:sz w:val="22"/>
            <w:szCs w:val="22"/>
            <w:lang w:val="en-US"/>
          </w:rPr>
        </w:r>
      </w:hyperlink>
      <w:r>
        <w:rPr>
          <w:rFonts w:ascii="Tinos" w:hAnsi="Tinos" w:eastAsia="Tinos" w:cs="Tinos"/>
          <w:sz w:val="22"/>
          <w:szCs w:val="22"/>
        </w:rPr>
        <w:t xml:space="preserve">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8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Кулар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Аржаан</w:t>
      </w:r>
      <w:r>
        <w:rPr>
          <w:rFonts w:ascii="Tinos" w:hAnsi="Tinos" w:eastAsia="Tinos" w:cs="Tinos"/>
          <w:sz w:val="22"/>
          <w:szCs w:val="22"/>
        </w:rPr>
        <w:t xml:space="preserve"> Юрьевич: +7 (39422) 9-85-29,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8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</w:t>
      </w:r>
      <w:hyperlink r:id="rId18" w:tooltip="mailto:KularAY@tv.rosseti-sib.ru" w:history="1">
        <w:r>
          <w:rPr>
            <w:rStyle w:val="1085"/>
            <w:rFonts w:ascii="Tinos" w:hAnsi="Tinos" w:eastAsia="Tinos" w:cs="Tinos"/>
            <w:sz w:val="22"/>
            <w:szCs w:val="22"/>
            <w:lang w:val="en-US"/>
          </w:rPr>
          <w:t xml:space="preserve">Kular_AY</w:t>
        </w:r>
        <w:r>
          <w:rPr>
            <w:rStyle w:val="1085"/>
            <w:rFonts w:ascii="Tinos" w:hAnsi="Tinos" w:eastAsia="Tinos" w:cs="Tinos"/>
            <w:sz w:val="22"/>
            <w:szCs w:val="22"/>
          </w:rPr>
          <w:t xml:space="preserve">@</w:t>
        </w:r>
        <w:r>
          <w:rPr>
            <w:rStyle w:val="1085"/>
            <w:rFonts w:ascii="Tinos" w:hAnsi="Tinos" w:eastAsia="Tinos" w:cs="Tinos"/>
            <w:sz w:val="22"/>
            <w:szCs w:val="22"/>
            <w:lang w:val="en-US"/>
          </w:rPr>
          <w:t xml:space="preserve">tv</w:t>
        </w:r>
        <w:r>
          <w:rPr>
            <w:rStyle w:val="1085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85"/>
            <w:rFonts w:ascii="Tinos" w:hAnsi="Tinos" w:eastAsia="Tinos" w:cs="Tinos"/>
            <w:sz w:val="22"/>
            <w:szCs w:val="22"/>
            <w:lang w:val="en-US"/>
          </w:rPr>
          <w:t xml:space="preserve">rosseti</w:t>
        </w:r>
        <w:r>
          <w:rPr>
            <w:rStyle w:val="1085"/>
            <w:rFonts w:ascii="Tinos" w:hAnsi="Tinos" w:eastAsia="Tinos" w:cs="Tinos"/>
            <w:sz w:val="22"/>
            <w:szCs w:val="22"/>
          </w:rPr>
          <w:t xml:space="preserve">-</w:t>
        </w:r>
        <w:r>
          <w:rPr>
            <w:rStyle w:val="1085"/>
            <w:rFonts w:ascii="Tinos" w:hAnsi="Tinos" w:eastAsia="Tinos" w:cs="Tinos"/>
            <w:sz w:val="22"/>
            <w:szCs w:val="22"/>
            <w:lang w:val="en-US"/>
          </w:rPr>
          <w:t xml:space="preserve">sib</w:t>
        </w:r>
        <w:r>
          <w:rPr>
            <w:rStyle w:val="1085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85"/>
            <w:rFonts w:ascii="Tinos" w:hAnsi="Tinos" w:eastAsia="Tinos" w:cs="Tinos"/>
            <w:sz w:val="22"/>
            <w:szCs w:val="22"/>
            <w:lang w:val="en-US"/>
          </w:rPr>
          <w:t xml:space="preserve">ru</w:t>
        </w:r>
      </w:hyperlink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8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Часы работы: Пн. – Пт. с 8:00-17:00.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firstLine="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13.2.  В случае невыполнения Поставщиком условий настоящего Договора, он может быть расторгнут Покупателем (полно</w:t>
      </w:r>
      <w:r>
        <w:rPr>
          <w:rFonts w:ascii="Tinos" w:hAnsi="Tinos" w:eastAsia="Tinos" w:cs="Tinos"/>
          <w:sz w:val="22"/>
          <w:szCs w:val="22"/>
        </w:rPr>
        <w:t xml:space="preserve">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13.3.  Настоящий Договор вступает в силу с момента его подписания Сторонами и действует до полного исполнения сторонами своих обязательств.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13.4.  Настоящий Договор со всеми его дополнительными соглашениями и приложениями представляет собой единое соглашение между Сторо</w:t>
      </w:r>
      <w:r>
        <w:rPr>
          <w:rFonts w:ascii="Tinos" w:hAnsi="Tinos" w:eastAsia="Tinos" w:cs="Tinos"/>
          <w:bCs/>
          <w:sz w:val="22"/>
          <w:szCs w:val="22"/>
        </w:rPr>
        <w:t xml:space="preserve">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13.5.  Любые изменения, дополнения и приложения к настоящему Договору дей</w:t>
      </w:r>
      <w:r>
        <w:rPr>
          <w:rFonts w:ascii="Tinos" w:hAnsi="Tinos" w:eastAsia="Tinos" w:cs="Tinos"/>
          <w:sz w:val="22"/>
          <w:szCs w:val="22"/>
        </w:rPr>
        <w:t xml:space="preserve">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13.6.  Стороны обязаны письменно уведомлять друг друга об изменении реквизитов, места нахождения, почтового адреса, номеров телефонов в течение</w:t>
      </w:r>
      <w:r>
        <w:rPr>
          <w:rFonts w:ascii="Tinos" w:hAnsi="Tinos" w:eastAsia="Tinos" w:cs="Tinos"/>
          <w:sz w:val="22"/>
          <w:szCs w:val="22"/>
        </w:rPr>
        <w:t xml:space="preserve"> 3 (трех) рабочих дней с даты таких изменений.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13.7.  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4"/>
          <w:sz w:val="22"/>
          <w:szCs w:val="22"/>
        </w:rPr>
        <w:t xml:space="preserve">13.8.  Любое уведомле</w:t>
      </w:r>
      <w:r>
        <w:rPr>
          <w:rFonts w:ascii="Tinos" w:hAnsi="Tinos" w:eastAsia="Tinos" w:cs="Tinos"/>
          <w:spacing w:val="-4"/>
          <w:sz w:val="22"/>
          <w:szCs w:val="22"/>
        </w:rPr>
        <w:t xml:space="preserve">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hAnsi="Tinos" w:eastAsia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</w:t>
      </w:r>
      <w:r>
        <w:rPr>
          <w:rFonts w:ascii="Tinos" w:hAnsi="Tinos" w:eastAsia="Tinos" w:cs="Tinos"/>
          <w:sz w:val="22"/>
          <w:szCs w:val="22"/>
        </w:rPr>
        <w:t xml:space="preserve">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Электронный документ Покупателя считается подписанным простой электронной подписью, если он направлен (и в нем </w:t>
      </w:r>
      <w:r>
        <w:rPr>
          <w:rFonts w:ascii="Tinos" w:hAnsi="Tinos" w:eastAsia="Tinos" w:cs="Tinos"/>
          <w:sz w:val="22"/>
          <w:szCs w:val="22"/>
        </w:rPr>
        <w:t xml:space="preserve">содержится информация о его направлении) с электронного адреса </w:t>
      </w:r>
      <w:hyperlink r:id="rId19" w:tooltip="mailto:EvtifevaDV@tv.rosseti-sib.ru" w:history="1">
        <w:r>
          <w:rPr>
            <w:rStyle w:val="1085"/>
            <w:rFonts w:ascii="Tinos" w:hAnsi="Tinos" w:eastAsia="Tinos" w:cs="Tinos"/>
            <w:sz w:val="22"/>
            <w:szCs w:val="22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hyperlink r:id="rId20" w:tooltip="mailto:BaturinNV@tv.rosseti-sib.ru" w:history="1">
        <w:r>
          <w:rPr>
            <w:rStyle w:val="1085"/>
            <w:rFonts w:ascii="Tinos" w:hAnsi="Tinos" w:eastAsia="Tinos" w:cs="Tinos"/>
            <w:sz w:val="22"/>
            <w:szCs w:val="22"/>
          </w:rPr>
          <w:t xml:space="preserve">Baturin_NV@tv.rosseti-sib.ru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r>
        <w:rPr>
          <w:rFonts w:ascii="Tinos" w:hAnsi="Tinos" w:eastAsia="Tinos" w:cs="Tinos"/>
          <w:color w:val="0000ff"/>
          <w:sz w:val="22"/>
          <w:szCs w:val="22"/>
          <w:u w:val="single"/>
        </w:rPr>
        <w:t xml:space="preserve">Kular_AY@tv.rosseti-sib.ru</w:t>
      </w:r>
      <w:r>
        <w:rPr>
          <w:rFonts w:ascii="Tinos" w:hAnsi="Tinos" w:eastAsia="Tinos" w:cs="Tinos"/>
          <w:sz w:val="22"/>
          <w:szCs w:val="22"/>
        </w:rPr>
        <w:t xml:space="preserve"> на адрес электронной почты Поставщика: _______ 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</w:t>
      </w:r>
      <w:r>
        <w:rPr>
          <w:rFonts w:ascii="Tinos" w:hAnsi="Tinos" w:eastAsia="Tinos" w:cs="Tinos"/>
          <w:sz w:val="22"/>
          <w:szCs w:val="22"/>
        </w:rPr>
        <w:t xml:space="preserve">я о его направлении) с электронного адреса: ________ на адрес электронной почты Покупателя </w:t>
      </w:r>
      <w:hyperlink r:id="rId21" w:tooltip="mailto:EvtifevaDV@tv.rosseti-sib.ru" w:history="1">
        <w:r>
          <w:rPr>
            <w:rStyle w:val="1085"/>
            <w:rFonts w:ascii="Tinos" w:hAnsi="Tinos" w:eastAsia="Tinos" w:cs="Tinos"/>
            <w:sz w:val="22"/>
            <w:szCs w:val="22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hyperlink r:id="rId22" w:tooltip="mailto:BaturinNV@tv.rosseti-sib.ru" w:history="1">
        <w:r>
          <w:rPr>
            <w:rStyle w:val="1085"/>
            <w:rFonts w:ascii="Tinos" w:hAnsi="Tinos" w:eastAsia="Tinos" w:cs="Tinos"/>
            <w:sz w:val="22"/>
            <w:szCs w:val="22"/>
          </w:rPr>
          <w:t xml:space="preserve">Baturin_NV@tv.rosseti-sib.ru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r>
        <w:rPr>
          <w:rFonts w:ascii="Tinos" w:hAnsi="Tinos" w:eastAsia="Tinos" w:cs="Tinos"/>
          <w:color w:val="0000ff"/>
          <w:sz w:val="22"/>
          <w:szCs w:val="22"/>
          <w:u w:val="single"/>
        </w:rPr>
        <w:t xml:space="preserve">Kular_AY@tv.rosseti-sib.ru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ind w:firstLine="0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</w:t>
      </w:r>
      <w:r>
        <w:rPr>
          <w:rFonts w:ascii="Tinos" w:hAnsi="Tinos" w:eastAsia="Tinos" w:cs="Tinos"/>
          <w:sz w:val="22"/>
          <w:szCs w:val="22"/>
        </w:rPr>
        <w:t xml:space="preserve">ентооборота.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13.9. Вопросы, не урегулированные настоящим Договором, регламентируются нормами законодательства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13.10.  Все указанные в настоящем Договоре приложения являются его неотъемлемой частью.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13.11. 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6"/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13.12. В случае прекращения деятельности АО «</w:t>
      </w:r>
      <w:r>
        <w:rPr>
          <w:rFonts w:ascii="Tinos" w:hAnsi="Tinos" w:eastAsia="Tinos" w:cs="Tinos"/>
          <w:sz w:val="22"/>
          <w:szCs w:val="22"/>
        </w:rPr>
        <w:t xml:space="preserve">Россети</w:t>
      </w:r>
      <w:r>
        <w:rPr>
          <w:rFonts w:ascii="Tinos" w:hAnsi="Tinos" w:eastAsia="Tinos" w:cs="Tinos"/>
          <w:sz w:val="22"/>
          <w:szCs w:val="22"/>
        </w:rPr>
        <w:t xml:space="preserve"> Сибирь </w:t>
      </w:r>
      <w:r>
        <w:rPr>
          <w:rFonts w:ascii="Tinos" w:hAnsi="Tinos" w:eastAsia="Tinos" w:cs="Tinos"/>
          <w:sz w:val="22"/>
          <w:szCs w:val="22"/>
        </w:rPr>
        <w:t xml:space="preserve">Тываэнерго</w:t>
      </w:r>
      <w:r>
        <w:rPr>
          <w:rFonts w:ascii="Tinos" w:hAnsi="Tinos" w:eastAsia="Tinos" w:cs="Tinos"/>
          <w:sz w:val="22"/>
          <w:szCs w:val="22"/>
        </w:rPr>
        <w:t xml:space="preserve">» в результате реорганизации путем присоединения к ПАО «</w:t>
      </w:r>
      <w:r>
        <w:rPr>
          <w:rFonts w:ascii="Tinos" w:hAnsi="Tinos" w:eastAsia="Tinos" w:cs="Tinos"/>
          <w:sz w:val="22"/>
          <w:szCs w:val="22"/>
        </w:rPr>
        <w:t xml:space="preserve">Россети</w:t>
      </w:r>
      <w:r>
        <w:rPr>
          <w:rFonts w:ascii="Tinos" w:hAnsi="Tinos" w:eastAsia="Tinos" w:cs="Tinos"/>
          <w:sz w:val="22"/>
          <w:szCs w:val="22"/>
        </w:rPr>
        <w:t xml:space="preserve"> Сибир</w:t>
      </w:r>
      <w:r>
        <w:rPr>
          <w:rFonts w:ascii="Tinos" w:hAnsi="Tinos" w:eastAsia="Tinos" w:cs="Tinos"/>
          <w:sz w:val="22"/>
          <w:szCs w:val="22"/>
        </w:rPr>
        <w:t xml:space="preserve">ь», все права обязанности АО «</w:t>
      </w:r>
      <w:r>
        <w:rPr>
          <w:rFonts w:ascii="Tinos" w:hAnsi="Tinos" w:eastAsia="Tinos" w:cs="Tinos"/>
          <w:sz w:val="22"/>
          <w:szCs w:val="22"/>
        </w:rPr>
        <w:t xml:space="preserve">Россети</w:t>
      </w:r>
      <w:r>
        <w:rPr>
          <w:rFonts w:ascii="Tinos" w:hAnsi="Tinos" w:eastAsia="Tinos" w:cs="Tinos"/>
          <w:sz w:val="22"/>
          <w:szCs w:val="22"/>
        </w:rPr>
        <w:t xml:space="preserve"> Сибирь </w:t>
      </w:r>
      <w:r>
        <w:rPr>
          <w:rFonts w:ascii="Tinos" w:hAnsi="Tinos" w:eastAsia="Tinos" w:cs="Tinos"/>
          <w:sz w:val="22"/>
          <w:szCs w:val="22"/>
        </w:rPr>
        <w:t xml:space="preserve">Тываэнерго</w:t>
      </w:r>
      <w:r>
        <w:rPr>
          <w:rFonts w:ascii="Tinos" w:hAnsi="Tinos" w:eastAsia="Tinos" w:cs="Tinos"/>
          <w:sz w:val="22"/>
          <w:szCs w:val="22"/>
        </w:rPr>
        <w:t xml:space="preserve">» по настоящему Договору переходят в порядке правопреемства в полном объеме к ПАО «</w:t>
      </w:r>
      <w:r>
        <w:rPr>
          <w:rFonts w:ascii="Tinos" w:hAnsi="Tinos" w:eastAsia="Tinos" w:cs="Tinos"/>
          <w:sz w:val="22"/>
          <w:szCs w:val="22"/>
        </w:rPr>
        <w:t xml:space="preserve">Россети</w:t>
      </w:r>
      <w:r>
        <w:rPr>
          <w:rFonts w:ascii="Tinos" w:hAnsi="Tinos" w:eastAsia="Tinos" w:cs="Tinos"/>
          <w:sz w:val="22"/>
          <w:szCs w:val="22"/>
        </w:rPr>
        <w:t xml:space="preserve"> Сибирь».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14.  Приложения к Договору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14.1.  Приложение № 1. Спецификация.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14.2.  Приложение № 2.</w:t>
      </w:r>
      <w:r>
        <w:rPr>
          <w:rFonts w:ascii="Tinos" w:hAnsi="Tinos" w:eastAsia="Tinos" w:cs="Tinos"/>
          <w:sz w:val="22"/>
          <w:szCs w:val="22"/>
        </w:rPr>
        <w:t xml:space="preserve"> Информация о собственниках контрагента (включая конечных бенефициаров).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14.3.  Приложение № 3. Согласие на обработку персональных данных (форма).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14.4.  Приложение № 4. Форма заявки на поставку товара.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  <w:highlight w:val="none"/>
        </w:rPr>
        <w:suppressLineNumbers/>
      </w:pP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  <w:t xml:space="preserve">14.5.  Приложение № 5. </w:t>
      </w:r>
      <w:r>
        <w:rPr>
          <w:rFonts w:ascii="Tinos" w:hAnsi="Tinos" w:eastAsia="Tinos" w:cs="Tinos"/>
          <w:sz w:val="22"/>
          <w:szCs w:val="22"/>
          <w:highlight w:val="none"/>
        </w:rPr>
        <w:t xml:space="preserve">Условия предоставления обеспечения исполнения обязательств при аномально низкой цене.</w:t>
      </w:r>
      <w:r>
        <w:rPr>
          <w:rFonts w:ascii="Tinos" w:hAnsi="Tinos" w:cs="Tinos"/>
          <w:sz w:val="22"/>
          <w:szCs w:val="22"/>
          <w:highlight w:val="none"/>
        </w:rPr>
      </w:r>
      <w:r>
        <w:rPr>
          <w:rFonts w:ascii="Tinos" w:hAnsi="Tinos" w:cs="Tinos"/>
          <w:sz w:val="22"/>
          <w:szCs w:val="22"/>
          <w:highlight w:val="none"/>
        </w:rPr>
      </w:r>
    </w:p>
    <w:p>
      <w:p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  <w:highlight w:val="none"/>
        </w:rPr>
        <w:suppressLineNumbers/>
      </w:pPr>
      <w:r>
        <w:rPr>
          <w:rFonts w:ascii="Tinos" w:hAnsi="Tinos" w:cs="Tinos"/>
          <w:sz w:val="22"/>
          <w:szCs w:val="22"/>
          <w:highlight w:val="none"/>
        </w:rPr>
      </w:r>
      <w:r>
        <w:rPr>
          <w:rFonts w:ascii="Tinos" w:hAnsi="Tinos" w:cs="Tinos"/>
          <w:sz w:val="22"/>
          <w:szCs w:val="22"/>
          <w:highlight w:val="none"/>
        </w:rPr>
      </w:r>
      <w:r>
        <w:rPr>
          <w:rFonts w:ascii="Tinos" w:hAnsi="Tinos" w:cs="Tinos"/>
          <w:sz w:val="22"/>
          <w:szCs w:val="22"/>
          <w:highlight w:val="none"/>
        </w:rPr>
      </w:r>
    </w:p>
    <w:p>
      <w:pPr>
        <w:ind w:right="38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15.  Юридические адреса и реквизиты сторон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tbl>
      <w:tblPr>
        <w:tblW w:w="10488" w:type="dxa"/>
        <w:tblLayout w:type="fixed"/>
        <w:tblLook w:val="04A0" w:firstRow="1" w:lastRow="0" w:firstColumn="1" w:lastColumn="0" w:noHBand="0" w:noVBand="1"/>
      </w:tblPr>
      <w:tblGrid>
        <w:gridCol w:w="4819"/>
        <w:gridCol w:w="5669"/>
      </w:tblGrid>
      <w:tr>
        <w:tblPrEx/>
        <w:trPr>
          <w:trHeight w:val="411"/>
        </w:trPr>
        <w:tc>
          <w:tcPr>
            <w:tcW w:w="4819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eastAsia="Tinos" w:cs="Tinos"/>
                <w:b/>
                <w:bCs/>
                <w:sz w:val="22"/>
                <w:szCs w:val="22"/>
                <w:highlight w:val="none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Покупатель: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  <w:highlight w:val="none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АО «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Россети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 Сибирь 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Тываэнерго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»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pStyle w:val="1086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 667001, Республика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86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Тыва, 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86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</w:t>
            </w: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667001, Республика Тыва,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86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86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1701029232 /170101001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86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40702810865000001852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86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в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86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ПАО СБЕРБАНК г. КРАСНОЯРСК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86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30101810800000000627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86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040407627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ОГРН 1021700509566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_____________________/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 А.И. Таранков /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5669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eastAsia="Tinos" w:cs="Tinos"/>
                <w:b/>
                <w:bCs/>
                <w:sz w:val="22"/>
                <w:szCs w:val="22"/>
                <w:highlight w:val="none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Поставщик: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  <w:highlight w:val="none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почтовый: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ИНН/КПП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ОГРН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ОКПО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_____________________/  /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blPrEx/>
        <w:trPr>
          <w:trHeight w:val="202"/>
        </w:trPr>
        <w:tc>
          <w:tcPr>
            <w:tcW w:w="4819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5669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blPrEx/>
        <w:trPr>
          <w:trHeight w:val="679"/>
        </w:trPr>
        <w:tc>
          <w:tcPr>
            <w:tcW w:w="4819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«_____»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_____________20___г.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5669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</w:tbl>
    <w:p>
      <w:pPr>
        <w:pStyle w:val="1078"/>
        <w:numPr>
          <w:ilvl w:val="0"/>
          <w:numId w:val="0"/>
        </w:numPr>
        <w:jc w:val="right"/>
        <w:keepNext w:val="0"/>
        <w:spacing w:before="0" w:after="0"/>
        <w:rPr>
          <w:b w:val="0"/>
          <w:caps w:val="0"/>
          <w:sz w:val="22"/>
          <w:szCs w:val="22"/>
          <w:vertAlign w:val="superscript"/>
        </w:rPr>
        <w:sectPr>
          <w:footerReference w:type="default" r:id="rId9"/>
          <w:footnotePr/>
          <w:endnotePr/>
          <w:type w:val="nextPage"/>
          <w:pgSz w:w="11906" w:h="16838" w:orient="portrait"/>
          <w:pgMar w:top="709" w:right="709" w:bottom="567" w:left="709" w:header="709" w:footer="709" w:gutter="0"/>
          <w:cols w:num="1" w:sep="0" w:space="708" w:equalWidth="1"/>
          <w:docGrid w:linePitch="360"/>
        </w:sectPr>
      </w:pPr>
      <w:r>
        <w:rPr>
          <w:b w:val="0"/>
          <w:caps w:val="0"/>
          <w:sz w:val="22"/>
          <w:szCs w:val="22"/>
          <w:vertAlign w:val="superscript"/>
        </w:rPr>
      </w:r>
      <w:r>
        <w:rPr>
          <w:b w:val="0"/>
          <w:caps w:val="0"/>
          <w:sz w:val="22"/>
          <w:szCs w:val="22"/>
          <w:vertAlign w:val="superscript"/>
        </w:rPr>
      </w:r>
      <w:r>
        <w:rPr>
          <w:b w:val="0"/>
          <w:caps w:val="0"/>
          <w:sz w:val="22"/>
          <w:szCs w:val="22"/>
          <w:vertAlign w:val="superscript"/>
        </w:rPr>
      </w:r>
    </w:p>
    <w:p>
      <w:pPr>
        <w:ind w:left="6237"/>
        <w:spacing w:after="0" w:afterAutospacing="0" w:line="17" w:lineRule="atLeast"/>
        <w:rPr>
          <w:rFonts w:ascii="Tinos" w:hAnsi="Tinos" w:cs="Tinos"/>
          <w:b/>
        </w:rPr>
      </w:pPr>
      <w:r>
        <w:rPr>
          <w:rFonts w:ascii="Tinos" w:hAnsi="Tinos" w:eastAsia="Tinos" w:cs="Tinos"/>
        </w:rPr>
        <w:t xml:space="preserve">  </w:t>
      </w:r>
      <w:r>
        <w:rPr>
          <w:rFonts w:ascii="Tinos" w:hAnsi="Tinos" w:eastAsia="Tinos" w:cs="Tinos"/>
          <w:b/>
        </w:rPr>
        <w:t xml:space="preserve">         </w:t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ind w:left="6237"/>
        <w:jc w:val="right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</w:rPr>
        <w:t xml:space="preserve">           </w:t>
      </w:r>
      <w:r>
        <w:rPr>
          <w:rFonts w:ascii="Tinos" w:hAnsi="Tinos" w:eastAsia="Tinos" w:cs="Tinos"/>
          <w:sz w:val="20"/>
          <w:szCs w:val="20"/>
        </w:rPr>
        <w:t xml:space="preserve">Приложение № 1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right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78"/>
        <w:numPr>
          <w:ilvl w:val="0"/>
          <w:numId w:val="0"/>
        </w:numPr>
        <w:jc w:val="right"/>
        <w:keepNext w:val="0"/>
        <w:spacing w:before="0" w:after="0" w:afterAutospacing="0" w:line="17" w:lineRule="atLeast"/>
        <w:rPr>
          <w:rFonts w:ascii="Tinos" w:hAnsi="Tinos" w:cs="Tinos"/>
          <w:b w:val="0"/>
          <w:sz w:val="22"/>
          <w:szCs w:val="22"/>
        </w:rPr>
      </w:pPr>
      <w:r>
        <w:rPr>
          <w:rFonts w:ascii="Tinos" w:hAnsi="Tinos" w:eastAsia="Tinos" w:cs="Tinos"/>
          <w:b w:val="0"/>
          <w:caps w:val="0"/>
          <w:sz w:val="20"/>
          <w:szCs w:val="20"/>
        </w:rPr>
        <w:t xml:space="preserve">                  от "____" __________ 20___г</w:t>
      </w:r>
      <w:r>
        <w:rPr>
          <w:rFonts w:ascii="Tinos" w:hAnsi="Tinos" w:cs="Tinos"/>
          <w:b w:val="0"/>
          <w:sz w:val="22"/>
          <w:szCs w:val="22"/>
        </w:rPr>
      </w:r>
      <w:r>
        <w:rPr>
          <w:rFonts w:ascii="Tinos" w:hAnsi="Tinos" w:cs="Tinos"/>
          <w:b w:val="0"/>
          <w:sz w:val="22"/>
          <w:szCs w:val="22"/>
        </w:rPr>
      </w:r>
    </w:p>
    <w:p>
      <w:pPr>
        <w:jc w:val="center"/>
        <w:spacing w:after="0" w:afterAutospacing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</w: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jc w:val="center"/>
        <w:spacing w:after="0" w:afterAutospacing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</w: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jc w:val="center"/>
        <w:spacing w:after="0" w:afterAutospacing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СПЕЦИФИКАЦИЯ №________от _________20__г.</w:t>
      </w: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jc w:val="center"/>
        <w:spacing w:after="0" w:afterAutospacing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к Договору поставки № _______________от__________20__г.</w:t>
      </w: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tbl>
      <w:tblPr>
        <w:tblpPr w:horzAnchor="page" w:tblpX="850" w:vertAnchor="page" w:tblpY="3116" w:leftFromText="180" w:topFromText="0" w:rightFromText="180" w:bottomFromText="0"/>
        <w:tblW w:w="1544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843"/>
        <w:gridCol w:w="6236"/>
        <w:gridCol w:w="1134"/>
        <w:gridCol w:w="1134"/>
        <w:gridCol w:w="709"/>
        <w:gridCol w:w="709"/>
        <w:gridCol w:w="992"/>
        <w:gridCol w:w="992"/>
      </w:tblGrid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№ п/п</w:t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Номенклатурный №</w:t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Наименование ТМЦ и оборудования</w:t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Характеристики, требования и комплектация</w:t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Страна происхождения товара</w:t>
            </w: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, и </w:t>
            </w: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производитель</w:t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Номер реестровой записи (</w:t>
            </w: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при наличии)</w:t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Ед.</w:t>
            </w: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br/>
              <w:t xml:space="preserve">изм.</w:t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Кол-во</w:t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Цена,</w:t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без НДС руб.</w:t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Сумма,</w:t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без НДС, руб.</w:t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5432620005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Бумага для заметок 80х80х80 мм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Блок для записей 80x80x80 мм, цветной 5-6 цветов, пл.бумаги 80 гр/м2, в боксе.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400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5432620011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Бумага д/заметок с клейким краем 76х50мм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Бумага для заметок с клейким краем.  Размер 76х50 мм и повышенной клейкостью 25 Н/м. Плотность 75 г/м2. различные типы поверхностей. Количество листов в блоке: 100. Цвет в ассортименте.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500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5432620007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Бумага д/заметок с клейким краем 76х76мм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Бумага с клеевым краем. Размер: 76х76мм. Количество листов в блоке: 100, плотность бумаги 75 гр/м2. Цвет в ассортименте.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400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9692800114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Гелевая подушка для смачивания пальцев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облегчает работу при подсчёте денег и сортировке бумаг (документов, бюллетеней, подписных листов).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50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3971620001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Грифель 0,5 мм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Сменные грифели дл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я механических карандашей. Диаметр грифеля: 0,5 мм. Твердость: HB. Длина грифеля: 60 мм. Количество штук в упаковке 20. Материал изготовления: графит. Цвет грифеля: серый. Индивидуальная упаковка: пластиковый футляр. Грифели пишут мягко, не царапая бумагу.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200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3971620003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Грифель 0,7мм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Сменные грифели дл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я механических карандашей. Диаметр грифеля: 0,7 мм. Твердость: HB. Длина грифеля: 60 мм. Количество штук в упаковке 20. Материал изготовления: графит. Цвет грифеля: серый. Индивидуальная упаковка: пластиковый футляр. Грифели пишут мягко, не царапая бумагу.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200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9692890189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Дырокол до 30 листов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Дырокол Lamark серии Me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tallic (эквивалент) на 2 отверстия диаметром 5,5 мм оснащен линейкой деления на форматы и пластиковым поддоном-основанием для сбора конфетти. Усиленные пружины и ножи. Расстояние между отверстиями 80 мм. Мощность пробивания до 40 листов.</w:t>
              <w:br/>
              <w:t xml:space="preserve"> Материал: металл.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7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8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9692890195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Дырокол до 300 листов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Дырокол 300 листов, 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  <w:lang w:val="en-US"/>
              </w:rPr>
              <w:t xml:space="preserve">2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 отверстия, с линейкой, металл, антискользящая вставка, фиксатор.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2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9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5463310016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Ежедневник недатированный А5,обложка ПВХ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Количество листов: 176; Формат: A5; Тип еженедельника:недатированный  Плотность бумаги: 70 г/м2.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50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9692890223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Жидкость корректирующая, 20 мл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Жидкость корректирующая белая, морозоустойчивая, быстро высыхает на бумаге. Основа: спиртовая.</w:t>
              <w:br/>
              <w:t xml:space="preserve">Объем флакона: 20 мл.</w:t>
              <w:br/>
              <w:t xml:space="preserve">Вид нанесения: кисточка.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300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11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9692890220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Зажим для бумаг металлический, 32 мм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Металлические зажимы для бумаг черного цвета. Размер зажима: ширина 32 мм. Позволяет скреплять до 140 листов плотностью 80 г/кв.м, не деформируя при этом бумагу.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800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12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9692890222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Зажим для бумаг металлический, 51 мм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Металлические зажимы для бумаг  черного цвета. Размер зажима: ширина 51 мм. Позволяет скреплять до 240 листов плотностью 80 г/кв.м, не деформируя при этом бумагу.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700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13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9692890157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Закладка клейкая пластиковая,5 цв, 25шт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Ширина: 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12 мм. Длина: 45 мм.</w:t>
              <w:br/>
              <w:t xml:space="preserve">Количество цветов: 5. Общее количество закладок: 200 шт. Хранение закладок: пластиковая линейка. Неоновые цвета: да.</w:t>
              <w:br/>
              <w:t xml:space="preserve">Материал: пластик. Клейкость: 22 Н/м . Форма закладок: прямоугольные.</w:t>
              <w:br/>
              <w:t xml:space="preserve">Цвет: ассорти. Упаковка: полибег с европодвесом.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упк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800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14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4013700209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Калькулятор 16-разрядный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Калькулятор бухгалтерский, настольный, 16-ти разрядный. ЖК-дисплей. Независимая память, 2 ячейки. Функция надбавки (повышения цены). Операция изменения знака числа. Клавиши ввода «00» и «000». Клавиша уд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аления последней отображаемой цифры. Ползунковый переключатель режима запятой. Ползунковый переключатель режима округления. Функция быстрого ввода. Литиевая батарея питания. Солнечная батарея питания. Автоматическое выключение питания. Размер - 200х150 мм.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50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15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9692890224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Роллер корректирующий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Роллер корректирующий. Тип корректора лента. Ширина ленты  5мм.   Длина ленты 8 м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300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16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9692890225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Карандаш корректирующий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Корректирующий карандаш с металлическим наконечником. Подходит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 для машинописного или рукописного текста. Точное нанесение. Надежный колпачок предотвращает засыхание. Моментально высыхает. </w:t>
              <w:br/>
              <w:t xml:space="preserve">Морозоустойчивость: да.</w:t>
              <w:br/>
              <w:t xml:space="preserve">Объем: 8 мл.</w:t>
              <w:br/>
              <w:t xml:space="preserve">Тип подачи жидкости: механический.</w:t>
              <w:br/>
              <w:t xml:space="preserve">Материал наконечника: металлический.</w:t>
              <w:br/>
              <w:t xml:space="preserve">Толщина линии: 1 мм.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400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17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9692840005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Карандаш простой в ассортименте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Заточенный карандаш, твердость грифеля: HB (ТМ). Материал корпуса: дерево.</w:t>
              <w:br/>
              <w:t xml:space="preserve">Профиль карандаша: шестигранный. Длина корпуса карандаша: 190 мм.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500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18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9692890231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Клей ПВА 85гр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Клей с дозатором для склеивания бумаги, картона, дерева. Объем не менее 85 гр.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500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19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9692890235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Клей-карандаш 36г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Вес клея-карандаша не менее 36 гр., предназначен для склеивания бумажных изделий за 30 секунд. Без растворителей, не токсичен, без цвета и запаха, должен равномерно наноситься и не должен деформировать бумагу при склеивании.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800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9692810006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Кнопки канцелярские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Шляпка имеет форму диска (часто сплошного, без отверстия).</w:t>
              <w:br/>
              <w:t xml:space="preserve">В шляпке проделано тр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еугольное отверстие, повторяющее форму острия, так как остриё вырезается из шляпки и загибается перпендикулярно. Как правило, треугольник равнобедренный.</w:t>
              <w:br/>
              <w:t xml:space="preserve">Остриё заметно сужается из-за толстого основания, необходимого, чтобы остриё не ломалось при втыкании.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пач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50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21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9692810034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Гвоздики канцелярские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Кнопки канцелярские с пластиковой цветной шляпкой и металлическими ножками-гвоздиками.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30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22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5481230008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Короб архивн из переплет карт 26х17х40см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Архивная папка-короб формата А4 выполнена из гофрокартона белого цвета. В закрытом состоянии фиксируется с помощью двух завязок. Ширина - 75 мм. Предусмотрены поля дл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я надписей. Вместимость - до 750 листов стандартной плотности. Круглые отверстия на корешках предназначены для удобного захвата папки как в вертикальном, так и в горизонтальном положении. Поставляется в разобранном виде. Внутренний размер - 244х75х322 мм.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50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23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9692800118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Ластик в ассортименте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Ластик предназначен для удаления чернильных и графитовых надписей. 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Ластик должен быть изготовлен из каучука. Размер ластика: длина не менее 60 мм; ширина не менее 20 мм; толщина не менее 7 мм. Ластик не должен оставлять мелкой пыли и крошек после использования. Ластик не должен повреждать поверхность бумаги при стирании.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400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24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9692890238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Лента клейкая 19мм х 33м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Размер: 19мм х 33мм. Толщина не менее 45 микрон. Прозрачная, обладает высокой клеящей способностью.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180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25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9692890240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Лента клейкая 50мм х 66м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Размер: 50мм х 66мм. Толщина не менее 45 микрон. Прозрачная, обладает высокой клеящей способностью.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250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26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9692890211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Линейка 20 см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Линейка из прочного пластика. Имеет безопасные закруглённые углы и четкую контрастную миллиметровую шкалу. Длина шкалы составляет 20 см. Габариты (ШxД) 2,5 x 21 см.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15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27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9692890212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Линейка 30 см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Линейка из прочного пластика. Имеет безопасные закруглённые углы и четкую контрастную миллиметровую шкалу. Длина шкалы составляет 30 см. Габариты (ШxД)    3 x 31 см.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15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28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9692890213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Линейка 40 см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Линейка из прочного пластика. Имеет безопасные закруглённые углы и четкую контрастную миллиметровую шкалу. Длина шкалы составляет 40 см. Габариты (ШxД)    3 x 31 см.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30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29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9692890166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Лоток для бумаг горизонтальный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Горизонтальный лоток для бумаг предназначе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н для хранения документов и печатной продукции формата А4. Лотки надежно стыкуются друг с другом соединительными металлическими элементами высотой 6 см. Изготовлен из пластика. Цвет: черный. В наборе три лотка. Размеры одного лотка (ВxГxШ): 80×335×255 мм.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15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9692890167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Лоток для бумаг вертикальный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Вертикальный лоток для бумаг, предназначен для хранения документов и печатной продукции формата А4.  Предусмотрена возможность регулиро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вать ширину отделений. Количество отделений: 5. Цвет: черный. Высота лотка: 295 мм. Ширина лотка: 245 мм. Глубина лотка: 250 мм. Материал: пластик. Разборная: да. Количество в наборе: 1 шт. Таблички для маркировки: да. Поставляется в разобранном виде: да.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30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31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2463990001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Краска штемп NORIS черн.50мл 196Сч спирт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Штемпельная краск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а чёрного цвета объёмом 50 мл — специальная универсальная краска на водной основе с содержанием спирта. </w:t>
              <w:br/>
              <w:t xml:space="preserve">Назначение: для проставления маркировки на полипропилене и полиэтилене. </w:t>
              <w:br/>
              <w:t xml:space="preserve">Время высыхания: на глянцевой бумаге и фольге — 11 секунд, на пластике и резин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е — 12 секунд. Температурная устойчивость: от −50 до +50 градусов. </w:t>
              <w:br/>
              <w:t xml:space="preserve">Срок хранения: 3 года. </w:t>
              <w:br/>
              <w:t xml:space="preserve">Рекомендуется использовать с клише из высококачественной резины, так как под воздействием спиртов клише из некачественной резины и всех типов полимера разрушается.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6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32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9692890244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Краска штемпельная 28мл на водной основе синяя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Назначение: для заправки штемпельных подушек, подходит для всех видов бумаги. Состав: водно-глицериновая основа. </w:t>
              <w:br/>
              <w:t xml:space="preserve">Наличие дозатора: да, обеспечивает равномерное нанесение краски на подушку. Диапазон температур для хранения: от –30 до +50 °С.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30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33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9692890350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Маркер для ПВХ 0,3мм водостойкий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Маркер черного цвета для влагостойкой маркировки пленок и ПВХ. Маркер E-140 permanent 0.3 мм (для пленок и ПВХ) черный предназначен для нанесения особенно тонких надписей на различные поверхности, которые не смываются водой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100,00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34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9692890294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Маркер перманентный в ассортименте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Маркер перманентный предназначен для надписей на 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любых поверхностях, в том числе пластмассе, стекле, пленках. После высыхания чернила черного цвета устойчивы к стиранию, воде, атмосферным воздействиям и свету. Минимальная толщина линии письма: 1 мм. Максимальная толщина линии письма: 1 мм.  Цвет черный.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200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35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1000004919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Маркер-краска цвет белый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Маркер перманентный предназначен 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для надписей на любых поверхностях, в том числе пластмассе, стекле, пленках. После высыхания чернила устойчивы к стиранию, воде, атмосферным воздействиям и свету. Минимальная толщина линии письма: 1 мм. Максимальная толщина линии письма: 1 мм.  Цвет белый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20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36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9692890210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Нож канцелярский 18 мм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Нож канцелярский усиленный, с металлическими направляющими. Лезвие из высококачественной стали, выдвижное, многосекционное. Ширина лезвия – 18 мм. Механическая система блокировки лезвия. Металлические направляющие. Материал корпуса: пластик.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100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37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9692890027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Ножницы канцелярские 20 см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Ножницы для работы бумагой и картоном. Изготовлены из нержавеющей стали. Ручки - пластик с резиновыми вставками анатомической формы предотвращают скольжение пальцев. Имеют острые лезвия, что снижает нагрузку на руку.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80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38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9692890379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Подставка-органайзер 6 отделений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Подставки под ручки, карандаши и другие мелочи. Цвет: черный. Тип: органайзер. Материал: пластик. Особенности: вращающееся основание.Количество отделений 6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20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39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9692890326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Папка для бумаг на 2-х кольцах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Формат — А4, вертикальное положение, вместимость — 170 листов, диаметр колец — 20 мм, ширина корешка — 25 мм, есть карманы на корешке и на внутренней стороне, материал — пластик, толщина — 0,8 мм, фактура — песок.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100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9692890269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Папка на кнопке А4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Папка формата А4, из плотного непрозрачного пластика. Толщина пластика не менее 0,18 мм. Цвет в ассортименте. Закрывается на защелку- кнопку. Вмещает до 100 листов.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300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41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9692890270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Папка на молнии А4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Папка-конверт на молнии Attache (эквивалент), формата А4, изготовлена и ПВХ с текстурой сетка, толщиной 230 мкм, предназначена для комфортного хранения и транспортировки документов, тетрадей, различных мелких предметов.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200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42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9692890328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Папка с зажимом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Пластиковая папка-скоросшиватель  с зажимом. Толщина пластика 0,7 мм. Ширина корешка - 15 мм.  Вместимость - 150 листов. Внутренний карман. Сменная этикетка для маркировки на корешке. Формат А4. Цвет в ассортименте.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300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43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9692890392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Папка Дело картон без скоросшивателя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Картонная папка без металлического скоросшивателя. Имеет надпись "Дело №" на обложке. Папка формата А4 вмещает до 200 листов. Изготовлена из немелованного картона плотностью 300 г/м2. Цвет: белый.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1500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44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9692890319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Папка-Планшет А4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Планшет с зажимом формата А4 (315х235 мм). Тип папки: без крышки. Расположение прижима: верхний. Фиксирует до: 80 листов. Материал: пластик. Толщина: 1 мм / 1000 мкм.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100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45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9692890250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Папка-регистратор, ширина корешка 50мм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Ширина корешка не менее 50 мм. Долговечный арочный механизм. Износоустойчивое ПВХ-покрытие. Прозрачный карман на корешке для сменной бумажной этикетки.</w:t>
              <w:br/>
              <w:t xml:space="preserve">Допустима влажная обработка. Увеличенный срок службы. Для бумаг формата А4. Цвет: черный.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300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46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9692890249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Папка-регистратор, ширина корешка 70мм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Ширина корешка не менее 70 мм. Долговечный арочный механизм. Износоустойчивое ПВХ-покрытие. Прозрачный карман на корешке для сменной бумажной этикетки.</w:t>
              <w:br/>
              <w:t xml:space="preserve">Допустима влажная обработка. Увеличенный срок службы. Для бумаг формата А4. Цвет: черный.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500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47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9692890335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Папка с 20 файлами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Папка файловая формата А4 изготовлена пластика толщиной 0,5 мм. Папка содержит 20 прозрачных листов-карманов формата А4, надежно скрепленных сваркой. Ширина корешка составляет 15 мм.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300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48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9692890337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Папка с 40 файлами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Папка файловая формата А4 изготовлена пластика толщиной 0,5 мм. Папка содержит 40 прозрачных листов-карманов формата А4, надежно скрепленных сваркой. Ширина корешка составляет 17 мм.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100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49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9692890245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Папка-скоросшиватель /Дело/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Папка со скоросшивателем. Формат А4. Картон немелованный, плотность 300 г/м2. Вмещает до 200 листов. Цвет - белый. Упаковка - крафт-бумага.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1500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9692890332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Папка-скоросшиватель с прозрач верх лист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Формат A4. Цвет в ассортименте. </w:t>
              <w:br/>
              <w:t xml:space="preserve">Прозрачный верхний лист. Толщина верхнего листа 0.12мм. Толщина нижнего листа 0,16мм.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300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51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9692890252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Папка-уголок А4, 3 отделения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Папка-уголок формата А4 изготовлена из прозрачного пластика плотностью 150 мкм. Имеет 3 отделения, разделенных ярлычками.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300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52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2265000001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Пленка д/ламинир 100мкм А4 100шт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Плёнка формат: А4;</w:t>
              <w:br/>
              <w:t xml:space="preserve">толщина плёнки: 100 мкм;</w:t>
              <w:br/>
              <w:t xml:space="preserve">тип: пакет;</w:t>
              <w:br/>
              <w:t xml:space="preserve">длина: 216 мм;</w:t>
              <w:br/>
              <w:t xml:space="preserve">ширина: 303 мм;</w:t>
              <w:br/>
              <w:t xml:space="preserve">поверхность: глянцевая;</w:t>
              <w:br/>
              <w:t xml:space="preserve">в комплекте: 1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00 шт.;</w:t>
              <w:br/>
              <w:t xml:space="preserve">состав: полиэтилентерефталат (PET), этиленвинилацетат (EVA), полиэтилен (LDPE).</w:t>
              <w:br/>
              <w:t xml:space="preserve">поверхность: глянцевая;</w:t>
              <w:br/>
              <w:t xml:space="preserve">способ ламинирования: горячий;</w:t>
              <w:br/>
              <w:t xml:space="preserve">предназначена для ламинирования различных документов формата А4: фотографий, рисунков, грамот, дипломов и других.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упк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250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53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9692890282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Ручка шариковая автоматическая в ассорт.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Ручка шариковая автоматическая. Ручка 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должна быть со сменным стержнем. Длина сменного стержня 107 мм. Ручка должна быть снабжена резиновой манжеткой в зоне захвата. Наконечник стержня должен быть металлизированный. Диаметр пишущего узла 0,7 мм. Толщина линии письма 0,35 мм. Цвет чернил синий.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2000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54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4261320002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Ручка шариковая в ассортименте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Ручка шариковая  в тонком корпусе с мягким резиновым грипом. Диаметр пишущего узла 0,7 мм. Толщина линии письма 0,35 мм. Цвет чернил синий. 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3000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55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9692800136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Ручка гелевая в ассортименте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Гелевая ручка Attache Economy (эквивалент) в прозрачном пластиковом корпусе оснащена удобной резиновой манжетой. Толщина линии письма: 0,5 мм. Длина стержня 139 мм </w:t>
              <w:br/>
              <w:t xml:space="preserve">Цвет чернил: черный, красный в равной степени  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600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56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9692890394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Ручка шариковая на подставке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Настольная шариковая ручка на пружинке и на подставке с регулируемым углом наклона. Подставка легко фиксируется на любой ровной поверхности. Цвет чернил - синий. Ширина линии письма - 0,7 мм. Длина стержня - 124 мм.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150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57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9692890180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Скоба для степлера, № 10/5, 1000 шт/упак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 степлеру №10 1000шт/уп. Скобы должны быть изготовлены из нержавеющей стали и металлического цвета.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упк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300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58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9692890181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Скоба для степлера, № 24/6, 1000 шт/упак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 степлеру №24 1000шт/уп. Скобы должны быть изготовлены из нержавеющей стали и металлического цвета.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упк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400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59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9692890182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Скоба для степлера, №26/6,1000 шт/упак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 степлеру №26 1000шт/уп. Скобы должны быть изготовлены из нержавеющей стали и металлического цвета.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упк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100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9692810032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Скрепки канцелярские 28 мм 50шт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Скрепки из высококачественной оцинкованной стальной проволоки повышенной прочности. Подходят для многократного использования. Не ржавеют. Не пачкают и не царапают бумагу. Материал: металл. Длина: 28 мм. Количество: 50 шт. в пач.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пач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300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61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9692810014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Скрепки канцелярские 50 мм 50шт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Скрепки из высококачественной оцинкованной стальной проволоки повышенной прочности. Подходят для многократного использования. Не ржавеют. Не пачкают и не царапают бумагу. Материал: металл. Длина: 33 мм. Количество: 50 шт. в пач.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пач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200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62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9692890174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Степлер канцелярский №10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Степлер со встроенным антистеплером изготовлен из ударопрочного пластика с высококачественным стальным механизмом. Вмещает до 50 скоб №10. Пробивает до 20 листов. Глубина закладки бумаги до 50 мм. Тип сшивания: закрытый.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50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63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9692890175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Степлер канцелярский №24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Степлер со встроенным антистеплером изготовлен из ударопрочного пластика с высококачественным стальным механизмом. Вмещает до 50 скоб №24. Пробивает до 30 листов. Глубина закладки бумаги до 50 мм. Тип сшивания: закрытый.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40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64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9692890178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Степлер настольный архивный до 200 л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Предназначен для работы с большим о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бъёмом документов, рабочий механизм и корпус выполнены из металла. Способен скрепить до 200 листов бумаги. Подходит для скоб №24/6, 26/6, №23/15, №23/17, №23/20, №23/8, 24/8, №23/23, №23/10, №23/24, №23/13. Глубина закладки бумаги регулируется — до 66 мм.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2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65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9692800098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Стержень шариковый в ассортименте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Стержень шариковый ERICH KRAUSE (эквивал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ент) на масляной основе предназначен для неавтоматических шариковых ручек. Тип стержня: классический. Длина стержня: 140 мм. Цвет чернил: синий. Масляные чернила: да. Диаметр пишущего узла: 0.7 мм. Толщина линии письма: 0.35 мм. Материал корпуса: пластик.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1000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66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9692890291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Маркер-текстовыделитель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Маркер-текстовыделитель  — это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 вид маркера, предназначенный для выделения фрагментов текста ярким, полупрозрачным цветом. Такой маркер заправляется полупрозрачными флуоресцентными чернилами, которые не покрывают поверхность бумаги плотным слоем, не пропускающим свет, как обычные маркер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ные чернила на водной или спиртовой основе. </w:t>
              <w:br/>
              <w:t xml:space="preserve">Отличительная черта — форма наконечника: плоская и скошенная, что обеспечивает ровное, непрерывное нанесение. Преимущество этой формы — дозированное поступление чернил, маркер не пропитывает лист бумаги насквозь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1300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67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9692890292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Набор маркеров-текстовыделителей 4 цвета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Набор маркеров текстовыделителей 4 цвета "Workmate" толщина линии 1-4мм, наконечники скошенные,   цвета: желтый, розовый, оранжевый, зеленый.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упк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500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68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5461190008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Тетрадь А4, 80 листов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Тетрадь общая. Количество листов: 80. Формат: А4. Линовка: клетка. Крепление: скрепка.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300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69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5461190006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Тетрадь А5, 48 листов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Тетрадь общая.  Внутренний блок — офсетная бумага 60 г/кв.м, белизна — 65–70% (офсет-2). Количество листов: 48. Формат: А5. Линовка: клетка. Крепление: скрепка.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300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9692890215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Точилка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Точилка металлическая одно отверстие</w:t>
              <w:br/>
            </w:r>
            <w:r>
              <w:rPr>
                <w:rFonts w:ascii="Tinos" w:hAnsi="Tinos" w:eastAsia="Tinos" w:cs="Tinos"/>
                <w:b/>
                <w:i w:val="0"/>
                <w:strike w:val="0"/>
                <w:color w:val="ff0000"/>
                <w:sz w:val="18"/>
                <w:szCs w:val="18"/>
                <w:u w:val="single"/>
                <w:vertAlign w:val="baseline"/>
              </w:rPr>
              <w:t xml:space="preserve"> 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Материал корпуса: металл. Контейнер для стружки: Нет. Металлический сердечник: Да. Количество отверстий: 1 ШТ Диаметр затачиваемого карандаша, мм: 8. Индикатор заточки: Нет. Размер, мм: 25х14х10.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ff0000"/>
                <w:sz w:val="18"/>
                <w:szCs w:val="18"/>
                <w:u w:val="none"/>
                <w:vertAlign w:val="baseline"/>
              </w:rPr>
              <w:t xml:space="preserve"> .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 Подходит для карандашей любой твердости. Оснащена металлическим лезвием высокого качества.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200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71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9692890253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Файл А4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Файловые вкладыши предназначены для хранения документов в папке с любым кольцевым механизмом или скоросшивателем. Формат: А4. Толщина пленки: 30 мкм. Ориентация: вертикальная. Фактура: гладкая.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 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15000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72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9666310008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Доска магнитно-маркерная настенная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Доска магнитно-маркерная настенная, одн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осекционная белая, без линовки. Лаковое покрытие предназначено для письма специальными маркерами для белой доски, а металлическая поверхность позволяет размещать информацию при помощи магнитов. Доска размером 100х150 см имеет укрепленные пластиковые уголки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, которые позволяют скрыть места крепления к стене. Профиль придает изделию дополнительную прочность и современный стильный внешний вид. Элементы крепления входят в комплект. Для защиты рабочей поверхности доски на нее нанесена защитная пленка.   </w:t>
              <w:br/>
              <w:t xml:space="preserve">Цвет тов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ара: белый. Рабочая поверхность: магнитно-маркерная. Размер (ВхШ) 100x150 см. Покрытие: лак. Антибликовое покрытие: есть. Особенности конструкции</w:t>
              <w:br/>
              <w:t xml:space="preserve">настенное размещение, односторонняя, полка для аксессуаров, укрепленные пластиковые уголки</w:t>
              <w:br/>
              <w:t xml:space="preserve">Количество секций 1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3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73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5463310017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Планинг датированный 140х298 мм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Планинги датированные черный, 140х298мм, 64л,на спирали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50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268"/>
        </w:trPr>
        <w:tc>
          <w:tcPr>
            <w:gridSpan w:val="9"/>
            <w:tcW w:w="14457" w:type="dxa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Итого общая сумма,  руб.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</w:tr>
      <w:tr>
        <w:tblPrEx/>
        <w:trPr>
          <w:trHeight w:val="273"/>
        </w:trPr>
        <w:tc>
          <w:tcPr>
            <w:gridSpan w:val="9"/>
            <w:tcW w:w="14457" w:type="dxa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Сумма НДС, руб.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276"/>
        </w:trPr>
        <w:tc>
          <w:tcPr>
            <w:gridSpan w:val="9"/>
            <w:tcW w:w="14457" w:type="dxa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Общая сумма с НДС, руб.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</w:tbl>
    <w:p>
      <w:pPr>
        <w:spacing w:after="0" w:afterAutospacing="0" w:line="17" w:lineRule="atLeast"/>
        <w:widowControl w:val="off"/>
        <w:rPr>
          <w:rFonts w:ascii="Tinos" w:hAnsi="Tinos" w:eastAsia="Tinos" w:cs="Tinos"/>
          <w:sz w:val="22"/>
          <w:szCs w:val="22"/>
          <w:highlight w:val="none"/>
        </w:rPr>
        <w:suppressLineNumbers/>
      </w:pPr>
      <w:r>
        <w:rPr>
          <w:rFonts w:ascii="Tinos" w:hAnsi="Tinos" w:eastAsia="Tinos" w:cs="Tinos"/>
          <w:sz w:val="22"/>
          <w:szCs w:val="22"/>
          <w:highlight w:val="none"/>
        </w:rPr>
        <w:t xml:space="preserve">  </w:t>
      </w: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</w:r>
    </w:p>
    <w:p>
      <w:pPr>
        <w:spacing w:after="0" w:afterAutospacing="0" w:line="17" w:lineRule="atLeast"/>
        <w:widowControl w:val="off"/>
        <w:rPr>
          <w:rFonts w:ascii="Tinos" w:hAnsi="Tinos" w:eastAsia="Tinos" w:cs="Tinos"/>
          <w:sz w:val="22"/>
          <w:szCs w:val="22"/>
          <w:highlight w:val="none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    Транспортные расходы уч</w:t>
      </w:r>
      <w:r>
        <w:rPr>
          <w:rFonts w:ascii="Tinos" w:hAnsi="Tinos" w:eastAsia="Tinos" w:cs="Tinos"/>
          <w:sz w:val="22"/>
          <w:szCs w:val="22"/>
        </w:rPr>
        <w:t xml:space="preserve">тены в стоимости товара. </w:t>
      </w:r>
      <w:r>
        <w:rPr>
          <w:rFonts w:ascii="Tinos" w:hAnsi="Tinos" w:eastAsia="Tinos" w:cs="Tinos"/>
          <w:sz w:val="22"/>
          <w:szCs w:val="22"/>
        </w:rPr>
        <w:t xml:space="preserve">Стоимость тары учтена в стоимости товара.</w:t>
      </w: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</w:r>
    </w:p>
    <w:p>
      <w:pPr>
        <w:spacing w:after="0" w:afterAutospacing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</w: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afterAutospacing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     </w:t>
      </w: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afterAutospacing="0" w:line="17" w:lineRule="atLeast"/>
        <w:widowControl w:val="off"/>
        <w:rPr>
          <w:rFonts w:ascii="Tinos" w:hAnsi="Tinos" w:cs="Tinos"/>
          <w:highlight w:val="none"/>
        </w:rPr>
        <w:suppressLineNumbers/>
      </w:pPr>
      <w:r>
        <w:rPr>
          <w:rFonts w:ascii="Tinos" w:hAnsi="Tinos" w:eastAsia="Tinos" w:cs="Tinos"/>
          <w:bCs/>
        </w:rPr>
        <w:t xml:space="preserve">        ПОКУПАТЕЛЬ                </w:t>
      </w:r>
      <w:r>
        <w:rPr>
          <w:rFonts w:ascii="Tinos" w:hAnsi="Tinos" w:eastAsia="Tinos" w:cs="Tinos"/>
          <w:bCs/>
        </w:rPr>
        <w:tab/>
        <w:t xml:space="preserve">                                                              ПОСТАВЩИК</w:t>
      </w:r>
      <w:r>
        <w:rPr>
          <w:rFonts w:ascii="Tinos" w:hAnsi="Tinos" w:cs="Tinos"/>
          <w:highlight w:val="none"/>
        </w:rPr>
      </w:r>
      <w:r>
        <w:rPr>
          <w:rFonts w:ascii="Tinos" w:hAnsi="Tinos" w:cs="Tinos"/>
          <w:highlight w:val="none"/>
        </w:rPr>
      </w:r>
    </w:p>
    <w:p>
      <w:pPr>
        <w:spacing w:after="0" w:afterAutospacing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</w: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afterAutospacing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eastAsia="Tinos" w:cs="Tinos"/>
          <w:bCs/>
        </w:rPr>
        <w:t xml:space="preserve">        _____________________/</w:t>
      </w:r>
      <w:r>
        <w:rPr>
          <w:rFonts w:ascii="Tinos" w:hAnsi="Tinos" w:eastAsia="Tinos" w:cs="Tinos"/>
        </w:rPr>
        <w:t xml:space="preserve"> А.И. Таранков</w:t>
      </w:r>
      <w:r>
        <w:rPr>
          <w:rFonts w:ascii="Tinos" w:hAnsi="Tinos" w:eastAsia="Tinos" w:cs="Tinos"/>
          <w:bCs/>
        </w:rPr>
        <w:t xml:space="preserve"> /                                    _____________________/ /</w:t>
      </w:r>
      <w:r>
        <w:rPr>
          <w:rFonts w:ascii="Tinos" w:hAnsi="Tinos" w:eastAsia="Tinos" w:cs="Tinos"/>
        </w:rPr>
        <w:t xml:space="preserve">  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widowControl w:val="off"/>
        <w:rPr>
          <w:rFonts w:ascii="Tinos" w:hAnsi="Tinos" w:cs="Tinos"/>
          <w:highlight w:val="none"/>
        </w:rPr>
        <w:suppressLineNumbers/>
      </w:pPr>
      <w:r>
        <w:rPr>
          <w:rFonts w:ascii="Tinos" w:hAnsi="Tinos" w:eastAsia="Tinos" w:cs="Tinos"/>
        </w:rPr>
        <w:t xml:space="preserve">        М.П.                                                                                                  М.П.   </w:t>
      </w:r>
      <w:r>
        <w:rPr>
          <w:rFonts w:ascii="Tinos" w:hAnsi="Tinos" w:cs="Tinos"/>
        </w:rPr>
        <w:br w:type="page" w:clear="all"/>
      </w:r>
      <w:r>
        <w:rPr>
          <w:rFonts w:ascii="Tinos" w:hAnsi="Tinos" w:cs="Tinos"/>
          <w:highlight w:val="none"/>
        </w:rPr>
      </w:r>
      <w:r>
        <w:rPr>
          <w:rFonts w:ascii="Tinos" w:hAnsi="Tinos" w:cs="Tinos"/>
          <w:highlight w:val="none"/>
        </w:rPr>
      </w:r>
    </w:p>
    <w:p>
      <w:pPr>
        <w:spacing w:after="0" w:afterAutospacing="0" w:line="17" w:lineRule="atLeast"/>
        <w:widowControl w:val="off"/>
        <w:rPr>
          <w:rFonts w:ascii="Tinos" w:hAnsi="Tinos" w:cs="Tinos"/>
        </w:rPr>
        <w:sectPr>
          <w:footnotePr/>
          <w:endnotePr/>
          <w:type w:val="nextPage"/>
          <w:pgSz w:w="16838" w:h="11906" w:orient="landscape"/>
          <w:pgMar w:top="993" w:right="709" w:bottom="992" w:left="567" w:header="709" w:footer="709" w:gutter="0"/>
          <w:cols w:num="1" w:sep="0" w:space="708" w:equalWidth="1"/>
          <w:docGrid w:linePitch="360"/>
        </w:sectPr>
        <w:suppressLineNumbers/>
      </w:pPr>
      <w:r>
        <w:rPr>
          <w:rFonts w:ascii="Tinos" w:hAnsi="Tinos" w:cs="Tinos"/>
          <w:highlight w:val="none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jc w:val="right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</w:t>
      </w:r>
      <w:r>
        <w:rPr>
          <w:rFonts w:ascii="Tinos" w:hAnsi="Tinos" w:eastAsia="Tinos" w:cs="Tinos"/>
          <w:sz w:val="20"/>
          <w:szCs w:val="20"/>
        </w:rPr>
        <w:t xml:space="preserve">Приложение № 2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right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0"/>
        <w:jc w:val="right"/>
        <w:spacing w:after="0" w:afterAutospacing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eastAsia="Tinos" w:cs="Tinos"/>
          <w:sz w:val="20"/>
          <w:szCs w:val="20"/>
        </w:rPr>
        <w:t xml:space="preserve">             от "____" __________ 20___г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contextualSpacing/>
        <w:ind w:left="60"/>
        <w:jc w:val="right"/>
        <w:spacing w:after="0" w:afterAutospacing="0" w:line="17" w:lineRule="atLeast"/>
        <w:widowControl w:val="off"/>
        <w:rPr>
          <w:rFonts w:ascii="Tinos" w:hAnsi="Tinos" w:cs="Tinos"/>
          <w:b/>
          <w:caps/>
        </w:rPr>
        <w:suppressLineNumbers/>
      </w:pPr>
      <w:r>
        <w:rPr>
          <w:rFonts w:ascii="Tinos" w:hAnsi="Tinos" w:eastAsia="Tinos" w:cs="Tinos"/>
        </w:rPr>
      </w:r>
      <w:bookmarkStart w:id="1" w:name="_Toc359424111"/>
      <w:r>
        <w:rPr>
          <w:rFonts w:ascii="Tinos" w:hAnsi="Tinos" w:cs="Tinos"/>
          <w:b/>
          <w:caps/>
        </w:rPr>
      </w:r>
      <w:r>
        <w:rPr>
          <w:rFonts w:ascii="Tinos" w:hAnsi="Tinos" w:cs="Tinos"/>
          <w:b/>
          <w:caps/>
        </w:rPr>
      </w:r>
    </w:p>
    <w:p>
      <w:pPr>
        <w:contextualSpacing/>
        <w:ind w:left="60"/>
        <w:spacing w:after="0" w:afterAutospacing="0" w:line="17" w:lineRule="atLeast"/>
        <w:widowControl w:val="off"/>
        <w:rPr>
          <w:rFonts w:ascii="Tinos" w:hAnsi="Tinos" w:cs="Tinos"/>
          <w:b/>
          <w:caps/>
        </w:rPr>
        <w:suppressLineNumbers/>
      </w:pPr>
      <w:r>
        <w:rPr>
          <w:rFonts w:ascii="Tinos" w:hAnsi="Tinos" w:eastAsia="Tinos" w:cs="Tinos"/>
          <w:b/>
          <w:caps/>
        </w:rPr>
        <w:t xml:space="preserve">СО 6.1401/0</w:t>
      </w:r>
      <w:bookmarkEnd w:id="1"/>
      <w:r>
        <w:rPr>
          <w:rFonts w:ascii="Tinos" w:hAnsi="Tinos" w:cs="Tinos"/>
          <w:b/>
          <w:caps/>
        </w:rPr>
      </w:r>
      <w:r>
        <w:rPr>
          <w:rFonts w:ascii="Tinos" w:hAnsi="Tinos" w:cs="Tinos"/>
          <w:b/>
          <w:caps/>
        </w:rPr>
      </w:r>
    </w:p>
    <w:p>
      <w:pPr>
        <w:ind w:left="60"/>
        <w:spacing w:after="0" w:afterAutospacing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left="60"/>
        <w:jc w:val="center"/>
        <w:keepLines/>
        <w:spacing w:after="0" w:afterAutospacing="0" w:line="17" w:lineRule="atLeast"/>
        <w:rPr>
          <w:rFonts w:ascii="Tinos" w:hAnsi="Tinos" w:cs="Tinos"/>
          <w:b/>
          <w:caps/>
        </w:rPr>
      </w:pPr>
      <w:r>
        <w:rPr>
          <w:rFonts w:ascii="Tinos" w:hAnsi="Tinos" w:eastAsia="Tinos" w:cs="Tinos"/>
          <w:b/>
          <w:caps/>
        </w:rPr>
      </w:r>
      <w:r>
        <w:rPr>
          <w:rFonts w:ascii="Tinos" w:hAnsi="Tinos" w:cs="Tinos"/>
          <w:b/>
          <w:caps/>
        </w:rPr>
      </w:r>
      <w:r>
        <w:rPr>
          <w:rFonts w:ascii="Tinos" w:hAnsi="Tinos" w:cs="Tinos"/>
          <w:b/>
          <w:caps/>
        </w:rPr>
      </w:r>
    </w:p>
    <w:p>
      <w:pPr>
        <w:ind w:left="60"/>
        <w:jc w:val="center"/>
        <w:keepLines/>
        <w:spacing w:after="0" w:afterAutospacing="0" w:line="17" w:lineRule="atLeast"/>
        <w:rPr>
          <w:rFonts w:ascii="Tinos" w:hAnsi="Tinos" w:cs="Tinos"/>
          <w:b/>
          <w:caps/>
        </w:rPr>
      </w:pPr>
      <w:r>
        <w:rPr>
          <w:rFonts w:ascii="Tinos" w:hAnsi="Tinos" w:eastAsia="Tinos" w:cs="Tinos"/>
          <w:b/>
          <w:caps/>
        </w:rPr>
        <w:t xml:space="preserve">Инф</w:t>
      </w:r>
      <w:r>
        <w:rPr>
          <w:rFonts w:ascii="Tinos" w:hAnsi="Tinos" w:eastAsia="Tinos" w:cs="Tinos"/>
          <w:b/>
          <w:caps/>
        </w:rPr>
        <w:t xml:space="preserve">ормация о собственниках контрагента (включая конечных бенефициаров)</w:t>
      </w:r>
      <w:r>
        <w:rPr>
          <w:rFonts w:ascii="Tinos" w:hAnsi="Tinos" w:cs="Tinos"/>
          <w:b/>
          <w:caps/>
        </w:rPr>
      </w:r>
      <w:r>
        <w:rPr>
          <w:rFonts w:ascii="Tinos" w:hAnsi="Tinos" w:cs="Tinos"/>
          <w:b/>
          <w:caps/>
        </w:rPr>
      </w:r>
    </w:p>
    <w:p>
      <w:pPr>
        <w:ind w:left="60"/>
        <w:jc w:val="center"/>
        <w:keepLines/>
        <w:spacing w:after="0" w:afterAutospacing="0" w:line="17" w:lineRule="atLeast"/>
        <w:rPr>
          <w:rFonts w:ascii="Tinos" w:hAnsi="Tinos" w:cs="Tinos"/>
          <w:b/>
          <w:caps/>
        </w:rPr>
      </w:pPr>
      <w:r>
        <w:rPr>
          <w:rFonts w:ascii="Tinos" w:hAnsi="Tinos" w:eastAsia="Tinos" w:cs="Tinos"/>
          <w:b/>
          <w:caps/>
        </w:rPr>
        <w:t xml:space="preserve">(ФОРМА ДОКУМЕНТА)</w:t>
      </w:r>
      <w:r>
        <w:rPr>
          <w:rFonts w:ascii="Tinos" w:hAnsi="Tinos" w:cs="Tinos"/>
          <w:b/>
          <w:caps/>
        </w:rPr>
      </w:r>
      <w:r>
        <w:rPr>
          <w:rFonts w:ascii="Tinos" w:hAnsi="Tinos" w:cs="Tinos"/>
          <w:b/>
          <w:caps/>
        </w:rPr>
      </w:r>
    </w:p>
    <w:tbl>
      <w:tblPr>
        <w:tblW w:w="9921" w:type="dxa"/>
        <w:tblInd w:w="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1134"/>
        <w:gridCol w:w="1559"/>
        <w:gridCol w:w="1559"/>
        <w:gridCol w:w="1276"/>
        <w:gridCol w:w="1417"/>
        <w:gridCol w:w="1276"/>
      </w:tblGrid>
      <w:tr>
        <w:tblPrEx/>
        <w:trPr>
          <w:trHeight w:val="278"/>
        </w:trPr>
        <w:tc>
          <w:tcPr>
            <w:gridSpan w:val="8"/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1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цепочке собственников, включая бенефициаров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(в том числе конечных)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0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№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ИНН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ОГРН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Наименование / ФИО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Адрес регистрации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Серия и номер документа, удостоверяющего личность (для физ. лиц)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Руководитель/участник/акционер/бенефициар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09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8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left="6237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jc w:val="right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6237"/>
        <w:jc w:val="right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6237"/>
        <w:jc w:val="right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6237"/>
        <w:jc w:val="left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</w:rPr>
        <w:t xml:space="preserve">                  Приложе</w:t>
      </w:r>
      <w:r>
        <w:rPr>
          <w:rFonts w:ascii="Tinos" w:hAnsi="Tinos" w:eastAsia="Tinos" w:cs="Tinos"/>
          <w:sz w:val="20"/>
          <w:szCs w:val="20"/>
        </w:rPr>
        <w:t xml:space="preserve">ние № 3</w:t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jc w:val="right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right"/>
        <w:spacing w:after="0" w:afterAutospacing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hAnsi="Tinos" w:eastAsia="Tinos" w:cs="Tinos"/>
          <w:b/>
          <w:sz w:val="20"/>
          <w:szCs w:val="20"/>
        </w:rPr>
        <w:t xml:space="preserve">ФОРМА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от "____" __________ 20__</w:t>
      </w:r>
      <w:r>
        <w:rPr>
          <w:rFonts w:ascii="Tinos" w:hAnsi="Tinos" w:cs="Tinos"/>
          <w:sz w:val="20"/>
          <w:szCs w:val="20"/>
          <w:highlight w:val="green"/>
        </w:rPr>
      </w:r>
      <w:r>
        <w:rPr>
          <w:rFonts w:ascii="Tinos" w:hAnsi="Tinos" w:cs="Tinos"/>
          <w:sz w:val="20"/>
          <w:szCs w:val="20"/>
          <w:highlight w:val="green"/>
        </w:rPr>
      </w:r>
    </w:p>
    <w:p>
      <w:pPr>
        <w:ind w:firstLine="709"/>
        <w:jc w:val="center"/>
        <w:keepNext/>
        <w:spacing w:after="0" w:afterAutospacing="0" w:line="17" w:lineRule="atLeast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  <w:r>
        <w:rPr>
          <w:rFonts w:ascii="Tinos" w:hAnsi="Tinos" w:eastAsia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bookmarkStart w:id="2" w:name="_Ref276562987"/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СО 6.1461/0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bCs/>
          <w:smallCaps/>
          <w:sz w:val="20"/>
          <w:szCs w:val="20"/>
        </w:rPr>
      </w:pPr>
      <w:r>
        <w:rPr>
          <w:rFonts w:ascii="Tinos" w:hAnsi="Tinos" w:eastAsia="Tinos" w:cs="Tinos"/>
          <w:b/>
          <w:bCs/>
          <w:smallCaps/>
          <w:sz w:val="20"/>
          <w:szCs w:val="20"/>
        </w:rPr>
      </w:r>
      <w:r>
        <w:rPr>
          <w:rFonts w:ascii="Tinos" w:hAnsi="Tinos" w:cs="Tinos"/>
          <w:b/>
          <w:bCs/>
          <w:smallCaps/>
          <w:sz w:val="20"/>
          <w:szCs w:val="20"/>
        </w:rPr>
      </w:r>
      <w:r>
        <w:rPr>
          <w:rFonts w:ascii="Tinos" w:hAnsi="Tinos" w:cs="Tinos"/>
          <w:b/>
          <w:bCs/>
          <w:smallCaps/>
          <w:sz w:val="20"/>
          <w:szCs w:val="20"/>
        </w:rPr>
      </w:r>
    </w:p>
    <w:p>
      <w:pPr>
        <w:jc w:val="center"/>
        <w:keepNext/>
        <w:spacing w:after="0" w:afterAutospacing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  <w:sz w:val="20"/>
          <w:szCs w:val="20"/>
        </w:rPr>
        <w:outlineLvl w:val="1"/>
      </w:pPr>
      <w:r>
        <w:rPr>
          <w:rFonts w:ascii="Tinos" w:hAnsi="Tinos" w:eastAsia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center"/>
        <w:keepNext/>
        <w:spacing w:after="0" w:afterAutospacing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  <w:sz w:val="22"/>
          <w:szCs w:val="22"/>
        </w:rPr>
        <w:outlineLvl w:val="1"/>
      </w:pPr>
      <w:r>
        <w:rPr>
          <w:rFonts w:ascii="Tinos" w:hAnsi="Tinos" w:eastAsia="Tinos" w:cs="Tinos"/>
          <w:b/>
          <w:sz w:val="22"/>
          <w:szCs w:val="22"/>
        </w:rPr>
        <w:t xml:space="preserve">Согласие на обработку персональных данных участника закупочной процедуры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jc w:val="center"/>
        <w:keepNext/>
        <w:spacing w:after="0" w:afterAutospacing="0" w:line="17" w:lineRule="atLeast"/>
        <w:widowControl w:val="off"/>
        <w:tabs>
          <w:tab w:val="left" w:pos="0" w:leader="none"/>
        </w:tabs>
        <w:rPr>
          <w:rFonts w:ascii="Tinos" w:hAnsi="Tinos" w:cs="Tinos"/>
          <w:b/>
          <w:sz w:val="22"/>
          <w:szCs w:val="22"/>
        </w:rPr>
      </w:pPr>
      <w:r>
        <w:rPr>
          <w:rFonts w:ascii="Tinos" w:hAnsi="Tinos" w:eastAsia="Tinos" w:cs="Tinos"/>
          <w:b/>
          <w:sz w:val="22"/>
          <w:szCs w:val="22"/>
        </w:rPr>
        <w:t xml:space="preserve">от «_____» ____________ 202____ г.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Настоящим, ________________________________________________________,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b/>
          <w:i/>
          <w:sz w:val="20"/>
          <w:szCs w:val="20"/>
        </w:rPr>
        <w:pBdr>
          <w:bottom w:val="single" w:color="000000" w:sz="12" w:space="1"/>
        </w:pBd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</w:t>
      </w: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полное наименование участника закупочной процедуры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(потенциального контрагента), контрагента)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Адрес регистрации: 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Свид</w:t>
      </w:r>
      <w:r>
        <w:rPr>
          <w:rFonts w:ascii="Tinos" w:hAnsi="Tinos" w:eastAsia="Tinos" w:cs="Tinos"/>
          <w:sz w:val="20"/>
          <w:szCs w:val="20"/>
        </w:rPr>
        <w:t xml:space="preserve">етельство о регистрации: ______________________________________________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ИНН__________________________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КПП__________________________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ОГРН_________________________</w:t>
      </w:r>
      <w:r>
        <w:rPr>
          <w:rFonts w:ascii="Tinos" w:hAnsi="Tinos" w:eastAsia="Tinos" w:cs="Tinos"/>
          <w:sz w:val="20"/>
          <w:szCs w:val="20"/>
        </w:rPr>
        <w:t xml:space="preserve">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в лице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___________________________________________________________________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afterAutospacing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 Ф.И.О</w:t>
      </w:r>
      <w:r>
        <w:rPr>
          <w:rFonts w:ascii="Tinos" w:hAnsi="Tinos" w:eastAsia="Tinos" w:cs="Tinos"/>
          <w:b/>
          <w:i/>
          <w:sz w:val="20"/>
          <w:szCs w:val="20"/>
        </w:rPr>
        <w:t xml:space="preserve">.,</w:t>
      </w: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keepNext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________________________________________________________________________________,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сведения о дате выдачи указанного документа и выдавшем его органе) *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действующего на основании _______________</w:t>
      </w:r>
      <w:r>
        <w:rPr>
          <w:rFonts w:ascii="Tinos" w:hAnsi="Tinos" w:eastAsia="Tinos" w:cs="Tinos"/>
          <w:i/>
          <w:sz w:val="20"/>
          <w:szCs w:val="20"/>
        </w:rPr>
        <w:t xml:space="preserve">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дает свое согласие АО «</w:t>
      </w:r>
      <w:r>
        <w:rPr>
          <w:rFonts w:ascii="Tinos" w:hAnsi="Tinos" w:eastAsia="Tinos" w:cs="Tinos"/>
          <w:sz w:val="20"/>
          <w:szCs w:val="20"/>
        </w:rPr>
        <w:t xml:space="preserve">Россети</w:t>
      </w:r>
      <w:r>
        <w:rPr>
          <w:rFonts w:ascii="Tinos" w:hAnsi="Tinos" w:eastAsia="Tinos" w:cs="Tinos"/>
          <w:sz w:val="20"/>
          <w:szCs w:val="20"/>
        </w:rPr>
        <w:t xml:space="preserve"> Сибирь </w:t>
      </w:r>
      <w:r>
        <w:rPr>
          <w:rFonts w:ascii="Tinos" w:hAnsi="Tinos" w:eastAsia="Tinos" w:cs="Tinos"/>
          <w:sz w:val="20"/>
          <w:szCs w:val="20"/>
        </w:rPr>
        <w:t xml:space="preserve">Тываэнерго</w:t>
      </w:r>
      <w:r>
        <w:rPr>
          <w:rFonts w:ascii="Tinos" w:hAnsi="Tinos" w:eastAsia="Tinos" w:cs="Tinos"/>
          <w:sz w:val="20"/>
          <w:szCs w:val="20"/>
        </w:rPr>
        <w:t xml:space="preserve">» зарегистрированному по адресу: 667001, Республика Тыва, г. Кызыл, ул. Рабочая, 4 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 «</w:t>
      </w:r>
      <w:r>
        <w:rPr>
          <w:rFonts w:ascii="Tinos" w:hAnsi="Tinos" w:eastAsia="Tinos" w:cs="Tinos"/>
          <w:b/>
          <w:sz w:val="20"/>
          <w:szCs w:val="20"/>
        </w:rPr>
        <w:t xml:space="preserve">Россети</w:t>
      </w:r>
      <w:r>
        <w:rPr>
          <w:rFonts w:ascii="Tinos" w:hAnsi="Tinos" w:eastAsia="Tinos" w:cs="Tinos"/>
          <w:b/>
          <w:sz w:val="20"/>
          <w:szCs w:val="20"/>
        </w:rPr>
        <w:t xml:space="preserve"> Сибирь»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</w:t>
      </w:r>
      <w:r>
        <w:rPr>
          <w:rFonts w:ascii="Tinos" w:hAnsi="Tinos" w:eastAsia="Tinos" w:cs="Tinos"/>
          <w:sz w:val="20"/>
          <w:szCs w:val="20"/>
        </w:rPr>
        <w:t xml:space="preserve">у: г. Красноярск, ул. Бограда 144 А,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и</w:t>
      </w:r>
      <w:r>
        <w:rPr>
          <w:rFonts w:ascii="Tinos" w:hAnsi="Tinos" w:eastAsia="Tinos" w:cs="Tinos"/>
          <w:i/>
          <w:sz w:val="20"/>
          <w:szCs w:val="20"/>
        </w:rPr>
        <w:t xml:space="preserve">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«Российские сети»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hAnsi="Tinos" w:eastAsia="Tinos" w:cs="Tinos"/>
          <w:sz w:val="20"/>
          <w:szCs w:val="20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nos" w:hAnsi="Tinos" w:eastAsia="Tinos" w:cs="Tinos"/>
          <w:sz w:val="20"/>
          <w:szCs w:val="20"/>
        </w:rPr>
        <w:t xml:space="preserve">елей, акционеров), </w:t>
      </w:r>
      <w:r>
        <w:rPr>
          <w:rFonts w:ascii="Tinos" w:hAnsi="Tinos" w:eastAsia="Tinos" w:cs="Tinos"/>
          <w:sz w:val="20"/>
          <w:szCs w:val="20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</w:t>
      </w:r>
      <w:r>
        <w:rPr>
          <w:rFonts w:ascii="Tinos" w:hAnsi="Tinos" w:eastAsia="Tinos" w:cs="Tinos"/>
          <w:sz w:val="20"/>
          <w:szCs w:val="20"/>
        </w:rPr>
        <w:t xml:space="preserve">субконтрагентов</w:t>
      </w:r>
      <w:r>
        <w:rPr>
          <w:rFonts w:ascii="Tinos" w:hAnsi="Tinos" w:eastAsia="Tinos" w:cs="Tinos"/>
          <w:sz w:val="20"/>
          <w:szCs w:val="20"/>
        </w:rPr>
        <w:t xml:space="preserve">: фамилия имя отчество, серия и номер документа, удостоверяющего личность, сведения о дате выдачи у</w:t>
      </w:r>
      <w:r>
        <w:rPr>
          <w:rFonts w:ascii="Tinos" w:hAnsi="Tinos" w:eastAsia="Tinos" w:cs="Tinos"/>
          <w:sz w:val="20"/>
          <w:szCs w:val="20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hAnsi="Tinos" w:eastAsia="Tinos" w:cs="Tinos"/>
          <w:sz w:val="20"/>
          <w:szCs w:val="20"/>
        </w:rPr>
        <w:br/>
        <w:t xml:space="preserve">а также на представление указанной </w:t>
      </w:r>
      <w:r>
        <w:rPr>
          <w:rFonts w:ascii="Tinos" w:hAnsi="Tinos" w:eastAsia="Tinos" w:cs="Tinos"/>
          <w:sz w:val="20"/>
          <w:szCs w:val="20"/>
        </w:rPr>
        <w:t xml:space="preserve">информации в уполномоченные государственные органы (Минэнерго России, </w:t>
      </w:r>
      <w:r>
        <w:rPr>
          <w:rFonts w:ascii="Tinos" w:hAnsi="Tinos" w:eastAsia="Tinos" w:cs="Tinos"/>
          <w:sz w:val="20"/>
          <w:szCs w:val="20"/>
        </w:rPr>
        <w:t xml:space="preserve">Росфинмониторинг</w:t>
      </w:r>
      <w:r>
        <w:rPr>
          <w:rFonts w:ascii="Tinos" w:hAnsi="Tinos" w:eastAsia="Tinos" w:cs="Tinos"/>
          <w:sz w:val="20"/>
          <w:szCs w:val="20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hAnsi="Tinos" w:eastAsia="Tinos" w:cs="Tinos"/>
          <w:sz w:val="20"/>
          <w:szCs w:val="20"/>
        </w:rPr>
        <w:br/>
        <w:t xml:space="preserve">и бенефициаро</w:t>
      </w:r>
      <w:r>
        <w:rPr>
          <w:rFonts w:ascii="Tinos" w:hAnsi="Tinos" w:eastAsia="Tinos" w:cs="Tinos"/>
          <w:sz w:val="20"/>
          <w:szCs w:val="20"/>
        </w:rPr>
        <w:t xml:space="preserve">в.***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</w:t>
      </w:r>
      <w:r>
        <w:rPr>
          <w:rFonts w:ascii="Tinos" w:hAnsi="Tinos" w:eastAsia="Tinos" w:cs="Tinos"/>
          <w:sz w:val="20"/>
          <w:szCs w:val="20"/>
        </w:rPr>
        <w:t xml:space="preserve">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hAnsi="Tinos" w:eastAsia="Tinos" w:cs="Tinos"/>
          <w:sz w:val="20"/>
          <w:szCs w:val="20"/>
        </w:rPr>
        <w:br/>
        <w:t xml:space="preserve">а также св</w:t>
      </w:r>
      <w:r>
        <w:rPr>
          <w:rFonts w:ascii="Tinos" w:hAnsi="Tinos" w:eastAsia="Tinos" w:cs="Tinos"/>
          <w:sz w:val="20"/>
          <w:szCs w:val="20"/>
        </w:rPr>
        <w:t xml:space="preserve">язанных с ними иных поручений Правительства Российской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отки его персональных данных.</w:t>
      </w:r>
      <w:r>
        <w:rPr>
          <w:rFonts w:ascii="Tinos" w:hAnsi="Tinos" w:cs="Tinos"/>
          <w:color w:val="000000"/>
          <w:sz w:val="20"/>
          <w:szCs w:val="20"/>
        </w:rPr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color w:val="000000"/>
          <w:sz w:val="20"/>
          <w:szCs w:val="20"/>
        </w:rPr>
        <w:t xml:space="preserve">_______________________________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                                ___________________________</w:t>
      </w:r>
      <w:r>
        <w:rPr>
          <w:rFonts w:ascii="Tinos" w:hAnsi="Tinos" w:cs="Tinos"/>
          <w:color w:val="000000"/>
          <w:sz w:val="20"/>
          <w:szCs w:val="20"/>
        </w:rPr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(Подпись субъекта персональных данных/                                    (Ф.И.О. и должность подписавшего*)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уполномоченного представи</w:t>
      </w:r>
      <w:r>
        <w:rPr>
          <w:rFonts w:ascii="Tinos" w:hAnsi="Tinos" w:eastAsia="Tinos" w:cs="Tinos"/>
          <w:sz w:val="20"/>
          <w:szCs w:val="20"/>
        </w:rPr>
        <w:t xml:space="preserve">теля) 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  <w:t xml:space="preserve">М.П.                                                                                  М.П.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</w:t>
      </w:r>
      <w:r>
        <w:rPr>
          <w:rFonts w:ascii="Tinos" w:hAnsi="Tinos" w:eastAsia="Tinos" w:cs="Tinos"/>
          <w:sz w:val="20"/>
          <w:szCs w:val="20"/>
        </w:rPr>
        <w:t xml:space="preserve">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</w:t>
      </w:r>
      <w:r>
        <w:rPr>
          <w:rFonts w:ascii="Tinos" w:hAnsi="Tinos" w:eastAsia="Tinos" w:cs="Tinos"/>
          <w:sz w:val="20"/>
          <w:szCs w:val="20"/>
        </w:rPr>
        <w:t xml:space="preserve">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 При заключении договоров ПАО «</w:t>
      </w:r>
      <w:r>
        <w:rPr>
          <w:rFonts w:ascii="Tinos" w:hAnsi="Tinos" w:eastAsia="Tinos" w:cs="Tinos"/>
          <w:sz w:val="20"/>
          <w:szCs w:val="20"/>
        </w:rPr>
        <w:t xml:space="preserve">Россети</w:t>
      </w:r>
      <w:r>
        <w:rPr>
          <w:rFonts w:ascii="Tinos" w:hAnsi="Tinos" w:eastAsia="Tinos" w:cs="Tinos"/>
          <w:sz w:val="20"/>
          <w:szCs w:val="20"/>
        </w:rPr>
        <w:t xml:space="preserve"> Сибирь»/ Обществом под</w:t>
      </w:r>
      <w:r>
        <w:rPr>
          <w:rFonts w:ascii="Tinos" w:hAnsi="Tinos" w:eastAsia="Tinos" w:cs="Tinos"/>
          <w:sz w:val="20"/>
          <w:szCs w:val="20"/>
        </w:rPr>
        <w:t xml:space="preserve"> управлением ПАО «</w:t>
      </w:r>
      <w:r>
        <w:rPr>
          <w:rFonts w:ascii="Tinos" w:hAnsi="Tinos" w:eastAsia="Tinos" w:cs="Tinos"/>
          <w:sz w:val="20"/>
          <w:szCs w:val="20"/>
        </w:rPr>
        <w:t xml:space="preserve">Россети</w:t>
      </w:r>
      <w:r>
        <w:rPr>
          <w:rFonts w:ascii="Tinos" w:hAnsi="Tinos" w:eastAsia="Tinos" w:cs="Tinos"/>
          <w:sz w:val="20"/>
          <w:szCs w:val="20"/>
        </w:rPr>
        <w:t xml:space="preserve">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r>
        <w:rPr>
          <w:rFonts w:ascii="Tinos" w:hAnsi="Tinos" w:eastAsia="Tinos" w:cs="Tinos"/>
          <w:sz w:val="20"/>
          <w:szCs w:val="20"/>
        </w:rPr>
        <w:t xml:space="preserve">субконтрагентов</w:t>
      </w:r>
      <w:r>
        <w:rPr>
          <w:rFonts w:ascii="Tinos" w:hAnsi="Tinos" w:eastAsia="Tinos" w:cs="Tinos"/>
          <w:sz w:val="20"/>
          <w:szCs w:val="20"/>
        </w:rPr>
        <w:t xml:space="preserve"> и их руководителей, собственников (участников, учредителей, а</w:t>
      </w:r>
      <w:r>
        <w:rPr>
          <w:rFonts w:ascii="Tinos" w:hAnsi="Tinos" w:eastAsia="Tinos" w:cs="Tinos"/>
          <w:sz w:val="20"/>
          <w:szCs w:val="20"/>
        </w:rPr>
        <w:t xml:space="preserve">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*** Заполнение участником закупки (потенциальным контрагентом) / контрагенто</w:t>
      </w:r>
      <w:r>
        <w:rPr>
          <w:rFonts w:ascii="Tinos" w:hAnsi="Tinos" w:eastAsia="Tinos" w:cs="Tinos"/>
          <w:sz w:val="20"/>
          <w:szCs w:val="20"/>
        </w:rPr>
        <w:t xml:space="preserve">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r>
        <w:rPr>
          <w:rFonts w:ascii="Tinos" w:hAnsi="Tinos" w:eastAsia="Tinos" w:cs="Tinos"/>
          <w:sz w:val="20"/>
          <w:szCs w:val="20"/>
        </w:rPr>
        <w:t xml:space="preserve">Россети</w:t>
      </w:r>
      <w:r>
        <w:rPr>
          <w:rFonts w:ascii="Tinos" w:hAnsi="Tinos" w:eastAsia="Tinos" w:cs="Tinos"/>
          <w:sz w:val="20"/>
          <w:szCs w:val="20"/>
        </w:rPr>
        <w:t xml:space="preserve">», ПАО «</w:t>
      </w:r>
      <w:r>
        <w:rPr>
          <w:rFonts w:ascii="Tinos" w:hAnsi="Tinos" w:eastAsia="Tinos" w:cs="Tinos"/>
          <w:sz w:val="20"/>
          <w:szCs w:val="20"/>
        </w:rPr>
        <w:t xml:space="preserve">Россети</w:t>
      </w:r>
      <w:r>
        <w:rPr>
          <w:rFonts w:ascii="Tinos" w:hAnsi="Tinos" w:eastAsia="Tinos" w:cs="Tinos"/>
          <w:sz w:val="20"/>
          <w:szCs w:val="20"/>
        </w:rPr>
        <w:t xml:space="preserve"> Сибирь», </w:t>
      </w:r>
      <w:r>
        <w:rPr>
          <w:rFonts w:ascii="Tinos" w:hAnsi="Tinos" w:eastAsia="Tinos" w:cs="Tinos"/>
          <w:sz w:val="20"/>
          <w:szCs w:val="20"/>
        </w:rPr>
        <w:t xml:space="preserve">Общества под управлением ПАО «</w:t>
      </w:r>
      <w:r>
        <w:rPr>
          <w:rFonts w:ascii="Tinos" w:hAnsi="Tinos" w:eastAsia="Tinos" w:cs="Tinos"/>
          <w:sz w:val="20"/>
          <w:szCs w:val="20"/>
        </w:rPr>
        <w:t xml:space="preserve">Россети</w:t>
      </w:r>
      <w:r>
        <w:rPr>
          <w:rFonts w:ascii="Tinos" w:hAnsi="Tinos" w:eastAsia="Tinos" w:cs="Tinos"/>
          <w:sz w:val="20"/>
          <w:szCs w:val="20"/>
        </w:rPr>
        <w:t xml:space="preserve"> Сибирь» перед руководителем, собственником (участником, учредителем, акционером), а также бенефициаром участника закупки / контрагента / их </w:t>
      </w:r>
      <w:r>
        <w:rPr>
          <w:rFonts w:ascii="Tinos" w:hAnsi="Tinos" w:eastAsia="Tinos" w:cs="Tinos"/>
          <w:sz w:val="20"/>
          <w:szCs w:val="20"/>
        </w:rPr>
        <w:t xml:space="preserve">субконтрагентов</w:t>
      </w:r>
      <w:r>
        <w:rPr>
          <w:rFonts w:ascii="Tinos" w:hAnsi="Tinos" w:eastAsia="Tinos" w:cs="Tinos"/>
          <w:sz w:val="20"/>
          <w:szCs w:val="20"/>
        </w:rPr>
        <w:t xml:space="preserve"> за предоставление Обществу данных о руководителе, собственника</w:t>
      </w:r>
      <w:r>
        <w:rPr>
          <w:rFonts w:ascii="Tinos" w:hAnsi="Tinos" w:eastAsia="Tinos" w:cs="Tinos"/>
          <w:sz w:val="20"/>
          <w:szCs w:val="20"/>
        </w:rPr>
        <w:t xml:space="preserve">х (участниках, учредителях, акционерах), в том числе своих бенефициарах и бенефициарах своего </w:t>
      </w:r>
      <w:r>
        <w:rPr>
          <w:rFonts w:ascii="Tinos" w:hAnsi="Tinos" w:eastAsia="Tinos" w:cs="Tinos"/>
          <w:sz w:val="20"/>
          <w:szCs w:val="20"/>
        </w:rPr>
        <w:t xml:space="preserve">субконтрагента</w:t>
      </w:r>
      <w:r>
        <w:rPr>
          <w:rFonts w:ascii="Tinos" w:hAnsi="Tinos" w:eastAsia="Tinos" w:cs="Tinos"/>
          <w:sz w:val="20"/>
          <w:szCs w:val="20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r>
        <w:rPr>
          <w:rFonts w:ascii="Tinos" w:hAnsi="Tinos" w:eastAsia="Tinos" w:cs="Tinos"/>
          <w:sz w:val="20"/>
          <w:szCs w:val="20"/>
        </w:rPr>
        <w:t xml:space="preserve">субко</w:t>
      </w:r>
      <w:r>
        <w:rPr>
          <w:rFonts w:ascii="Tinos" w:hAnsi="Tinos" w:eastAsia="Tinos" w:cs="Tinos"/>
          <w:sz w:val="20"/>
          <w:szCs w:val="20"/>
        </w:rPr>
        <w:t xml:space="preserve">нтрагентов</w:t>
      </w:r>
      <w:r>
        <w:rPr>
          <w:rFonts w:ascii="Tinos" w:hAnsi="Tinos" w:eastAsia="Tinos" w:cs="Tinos"/>
          <w:sz w:val="20"/>
          <w:szCs w:val="20"/>
        </w:rPr>
        <w:t xml:space="preserve"> согласие на представление (обработку) ПАО «</w:t>
      </w:r>
      <w:r>
        <w:rPr>
          <w:rFonts w:ascii="Tinos" w:hAnsi="Tinos" w:eastAsia="Tinos" w:cs="Tinos"/>
          <w:sz w:val="20"/>
          <w:szCs w:val="20"/>
        </w:rPr>
        <w:t xml:space="preserve">Россети</w:t>
      </w:r>
      <w:r>
        <w:rPr>
          <w:rFonts w:ascii="Tinos" w:hAnsi="Tinos" w:eastAsia="Tinos" w:cs="Tinos"/>
          <w:sz w:val="20"/>
          <w:szCs w:val="20"/>
        </w:rPr>
        <w:t xml:space="preserve">», ПАО «</w:t>
      </w:r>
      <w:r>
        <w:rPr>
          <w:rFonts w:ascii="Tinos" w:hAnsi="Tinos" w:eastAsia="Tinos" w:cs="Tinos"/>
          <w:sz w:val="20"/>
          <w:szCs w:val="20"/>
        </w:rPr>
        <w:t xml:space="preserve">Россети</w:t>
      </w:r>
      <w:r>
        <w:rPr>
          <w:rFonts w:ascii="Tinos" w:hAnsi="Tinos" w:eastAsia="Tinos" w:cs="Tinos"/>
          <w:sz w:val="20"/>
          <w:szCs w:val="20"/>
        </w:rPr>
        <w:t xml:space="preserve"> Сибирь», Обществу под управлением ПАО «</w:t>
      </w:r>
      <w:r>
        <w:rPr>
          <w:rFonts w:ascii="Tinos" w:hAnsi="Tinos" w:eastAsia="Tinos" w:cs="Tinos"/>
          <w:sz w:val="20"/>
          <w:szCs w:val="20"/>
        </w:rPr>
        <w:t xml:space="preserve">Россети</w:t>
      </w:r>
      <w:r>
        <w:rPr>
          <w:rFonts w:ascii="Tinos" w:hAnsi="Tinos" w:eastAsia="Tinos" w:cs="Tinos"/>
          <w:sz w:val="20"/>
          <w:szCs w:val="20"/>
        </w:rPr>
        <w:t xml:space="preserve"> Сибирь» и в уполномоченные государственные органы указанных сведений.</w:t>
      </w:r>
      <w:bookmarkEnd w:id="2"/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0" w:type="auto"/>
        <w:tblInd w:w="-1" w:type="dxa"/>
        <w:tblLayout w:type="fixed"/>
        <w:tblLook w:val="00A0" w:firstRow="1" w:lastRow="0" w:firstColumn="1" w:lastColumn="0" w:noHBand="0" w:noVBand="0"/>
      </w:tblPr>
      <w:tblGrid>
        <w:gridCol w:w="10063"/>
      </w:tblGrid>
      <w:tr>
        <w:tblPrEx/>
        <w:trPr>
          <w:trHeight w:val="80"/>
        </w:trPr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i/>
                <w:sz w:val="20"/>
                <w:szCs w:val="20"/>
              </w:rPr>
            </w: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</w:p>
        </w:tc>
      </w:tr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ФОРМУ СОГЛАСОВАЛИ:</w:t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</w:p>
        </w:tc>
      </w:tr>
      <w:tr>
        <w:tblPrEx/>
        <w:trPr>
          <w:trHeight w:val="3050"/>
        </w:trPr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tbl>
            <w:tblPr>
              <w:tblW w:w="14413" w:type="dxa"/>
              <w:tblInd w:w="-108" w:type="dxa"/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9594"/>
            </w:tblGrid>
            <w:tr>
              <w:tblPrEx/>
              <w:trPr>
                <w:trHeight w:val="411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Покупатель: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_____________________/ А.И. Таранков /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W w:w="9594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Поставщик: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______________________/</w:t>
                  </w: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 /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394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W w:w="9594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«_____»_____________20___г.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W w:w="9594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«_____» _____________20___г.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</w:tbl>
    <w:p>
      <w:pPr>
        <w:spacing w:after="0" w:afterAutospacing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hAnsi="Tinos" w:eastAsia="Tinos" w:cs="Tinos"/>
          <w:sz w:val="20"/>
          <w:szCs w:val="20"/>
          <w:highlight w:val="green"/>
        </w:rPr>
      </w:r>
      <w:r>
        <w:rPr>
          <w:rFonts w:ascii="Tinos" w:hAnsi="Tinos" w:cs="Tinos"/>
          <w:sz w:val="20"/>
          <w:szCs w:val="20"/>
          <w:highlight w:val="green"/>
        </w:rPr>
      </w:r>
      <w:r>
        <w:rPr>
          <w:rFonts w:ascii="Tinos" w:hAnsi="Tinos" w:cs="Tinos"/>
          <w:sz w:val="20"/>
          <w:szCs w:val="20"/>
          <w:highlight w:val="green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  <w:highlight w:val="none"/>
        </w:rPr>
      </w:pP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  <w:highlight w:val="none"/>
        </w:rPr>
      </w:pP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</w:rPr>
        <w:t xml:space="preserve">      </w:t>
      </w: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  <w:highlight w:val="none"/>
        </w:rPr>
      </w:pP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  <w:highlight w:val="none"/>
        </w:rPr>
      </w:pP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  <w:highlight w:val="none"/>
        </w:rPr>
      </w:pP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  <w:highlight w:val="none"/>
        </w:rPr>
      </w:pP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  <w:highlight w:val="none"/>
        </w:rPr>
      </w:pP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  <w:highlight w:val="none"/>
        </w:rPr>
      </w:pP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  <w:highlight w:val="none"/>
        </w:rPr>
      </w:pP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  <w:highlight w:val="none"/>
        </w:rPr>
      </w:pP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  <w:highlight w:val="none"/>
        </w:rPr>
      </w:pP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</w:p>
    <w:p>
      <w:pPr>
        <w:jc w:val="right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Приложение № 4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right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к Договору №_____________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78"/>
        <w:numPr>
          <w:ilvl w:val="0"/>
          <w:numId w:val="0"/>
        </w:numPr>
        <w:jc w:val="right"/>
        <w:keepNext w:val="0"/>
        <w:spacing w:before="0" w:after="0" w:afterAutospacing="0" w:line="17" w:lineRule="atLeast"/>
        <w:rPr>
          <w:rFonts w:ascii="Tinos" w:hAnsi="Tinos" w:cs="Tinos"/>
          <w:b w:val="0"/>
          <w:sz w:val="22"/>
          <w:szCs w:val="22"/>
        </w:rPr>
      </w:pPr>
      <w:r>
        <w:rPr>
          <w:rFonts w:ascii="Tinos" w:hAnsi="Tinos" w:eastAsia="Tinos" w:cs="Tinos"/>
          <w:b w:val="0"/>
          <w:caps w:val="0"/>
          <w:sz w:val="20"/>
          <w:szCs w:val="20"/>
        </w:rPr>
        <w:t xml:space="preserve">                      от "____" __________ 20___г</w:t>
      </w:r>
      <w:r>
        <w:rPr>
          <w:rFonts w:ascii="Tinos" w:hAnsi="Tinos" w:cs="Tinos"/>
          <w:b w:val="0"/>
          <w:sz w:val="22"/>
          <w:szCs w:val="22"/>
        </w:rPr>
      </w:r>
      <w:r>
        <w:rPr>
          <w:rFonts w:ascii="Tinos" w:hAnsi="Tinos" w:cs="Tinos"/>
          <w:b w:val="0"/>
          <w:sz w:val="22"/>
          <w:szCs w:val="22"/>
        </w:rPr>
      </w:r>
    </w:p>
    <w:p>
      <w:pPr>
        <w:jc w:val="right"/>
        <w:spacing w:after="0" w:afterAutospacing="0" w:line="17" w:lineRule="atLeast"/>
        <w:tabs>
          <w:tab w:val="left" w:pos="7260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right="40"/>
        <w:spacing w:after="0" w:afterAutospacing="0" w:line="17" w:lineRule="atLeast"/>
        <w:widowControl w:val="off"/>
        <w:rPr>
          <w:rFonts w:ascii="Tinos" w:hAnsi="Tinos" w:cs="Tinos"/>
          <w:b/>
        </w:rPr>
      </w:pPr>
      <w:r>
        <w:rPr>
          <w:rFonts w:ascii="Tinos" w:hAnsi="Tinos" w:eastAsia="Tinos" w:cs="Tinos"/>
          <w:b/>
        </w:rPr>
        <w:t xml:space="preserve">ФОРМА</w:t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ind w:right="40"/>
        <w:jc w:val="right"/>
        <w:spacing w:after="0" w:afterAutospacing="0" w:line="17" w:lineRule="atLeast"/>
        <w:widowControl w:val="off"/>
        <w:rPr>
          <w:rFonts w:ascii="Tinos" w:hAnsi="Tinos" w:cs="Tinos"/>
          <w:b/>
        </w:rPr>
      </w:pPr>
      <w:r>
        <w:rPr>
          <w:rFonts w:ascii="Tinos" w:hAnsi="Tinos" w:eastAsia="Tinos" w:cs="Tinos"/>
          <w:b/>
        </w:rPr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ind w:right="40"/>
        <w:jc w:val="right"/>
        <w:spacing w:after="0" w:afterAutospacing="0" w:line="17" w:lineRule="atLeast"/>
        <w:widowControl w:val="off"/>
        <w:rPr>
          <w:rFonts w:ascii="Tinos" w:hAnsi="Tinos" w:cs="Tinos"/>
          <w:b/>
        </w:rPr>
      </w:pPr>
      <w:r>
        <w:rPr>
          <w:rFonts w:ascii="Tinos" w:hAnsi="Tinos" w:eastAsia="Tinos" w:cs="Tinos"/>
          <w:b/>
        </w:rPr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jc w:val="center"/>
        <w:spacing w:after="0" w:afterAutospacing="0" w:line="17" w:lineRule="atLeast"/>
        <w:widowControl w:val="off"/>
        <w:rPr>
          <w:rFonts w:ascii="Tinos" w:hAnsi="Tinos" w:cs="Tinos"/>
          <w:b/>
        </w:rPr>
      </w:pPr>
      <w:r>
        <w:rPr>
          <w:rFonts w:ascii="Tinos" w:hAnsi="Tinos" w:eastAsia="Tinos" w:cs="Tinos"/>
          <w:b/>
        </w:rPr>
        <w:t xml:space="preserve">Заявка на поставку товара №_________</w:t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jc w:val="center"/>
        <w:spacing w:after="0" w:afterAutospacing="0" w:line="17" w:lineRule="atLeast"/>
        <w:widowControl w:val="off"/>
        <w:rPr>
          <w:rFonts w:ascii="Tinos" w:hAnsi="Tinos" w:cs="Tinos"/>
          <w:b/>
        </w:rPr>
      </w:pPr>
      <w:r>
        <w:rPr>
          <w:rFonts w:ascii="Tinos" w:hAnsi="Tinos" w:eastAsia="Tinos" w:cs="Tinos"/>
          <w:b/>
        </w:rPr>
        <w:t xml:space="preserve">от___________________20__г.</w:t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ind w:firstLine="709"/>
        <w:jc w:val="both"/>
        <w:spacing w:after="0" w:afterAutospacing="0" w:line="17" w:lineRule="atLeast"/>
        <w:widowControl w:val="off"/>
        <w:rPr>
          <w:rFonts w:ascii="Tinos" w:hAnsi="Tinos" w:cs="Tinos"/>
          <w:b/>
        </w:rPr>
      </w:pPr>
      <w:r>
        <w:rPr>
          <w:rFonts w:ascii="Tinos" w:hAnsi="Tinos" w:eastAsia="Tinos" w:cs="Tinos"/>
          <w:b/>
        </w:rPr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jc w:val="both"/>
        <w:spacing w:after="0" w:afterAutospacing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        В соответствии с условиями Д</w:t>
      </w:r>
      <w:r>
        <w:rPr>
          <w:rFonts w:ascii="Tinos" w:hAnsi="Tinos" w:eastAsia="Tinos" w:cs="Tinos"/>
        </w:rPr>
        <w:t xml:space="preserve">оговора поставки № _______________от «____» __________20__ г. 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jc w:val="both"/>
        <w:spacing w:after="0" w:afterAutospacing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прошу в срок до ___________________ произвести поставку следующей Продукции: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tbl>
      <w:tblPr>
        <w:tblpPr w:horzAnchor="text" w:tblpXSpec="left" w:vertAnchor="text" w:tblpY="1" w:leftFromText="180" w:topFromText="0" w:rightFromText="180" w:bottomFromText="200"/>
        <w:tblW w:w="5000" w:type="pct"/>
        <w:tblLayout w:type="fixed"/>
        <w:tblLook w:val="04A0" w:firstRow="1" w:lastRow="0" w:firstColumn="1" w:lastColumn="0" w:noHBand="0" w:noVBand="1"/>
      </w:tblPr>
      <w:tblGrid>
        <w:gridCol w:w="564"/>
        <w:gridCol w:w="4397"/>
        <w:gridCol w:w="1169"/>
        <w:gridCol w:w="1169"/>
        <w:gridCol w:w="1171"/>
        <w:gridCol w:w="1452"/>
      </w:tblGrid>
      <w:tr>
        <w:tblPrEx/>
        <w:trPr>
          <w:trHeight w:val="76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№ п/п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39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Наименование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 поставляемой продукции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6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Ед. изм.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6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Кол-во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Цена за ед., руб. без НДС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5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Стоимость, руб. без НДС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39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6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6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1"/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val="en-US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5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39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6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6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1"/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val="en-US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5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8469" w:type="dxa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Итого общая сумма,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5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8469" w:type="dxa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Сумма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5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8469" w:type="dxa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Общая сумма с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5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spacing w:after="0" w:afterAutospacing="0" w:line="17" w:lineRule="atLeast"/>
        <w:rPr>
          <w:rFonts w:ascii="Tinos" w:hAnsi="Tinos" w:eastAsia="Tinos" w:cs="Tinos"/>
          <w:highlight w:val="none"/>
        </w:rPr>
      </w:pPr>
      <w:r>
        <w:rPr>
          <w:rFonts w:ascii="Tinos" w:hAnsi="Tinos" w:eastAsia="Tinos" w:cs="Tinos"/>
        </w:rPr>
        <w:t xml:space="preserve">Место поставки: _______________________________________________________________________________________</w:t>
      </w:r>
      <w:r>
        <w:rPr>
          <w:rFonts w:ascii="Tinos" w:hAnsi="Tinos" w:eastAsia="Tinos" w:cs="Tinos"/>
        </w:rPr>
        <w:t xml:space="preserve">___</w:t>
      </w:r>
      <w:r>
        <w:rPr>
          <w:rFonts w:ascii="Tinos" w:hAnsi="Tinos" w:eastAsia="Tinos" w:cs="Tinos"/>
          <w:highlight w:val="none"/>
        </w:rPr>
      </w:r>
      <w:r>
        <w:rPr>
          <w:rFonts w:ascii="Tinos" w:hAnsi="Tinos" w:eastAsia="Tinos" w:cs="Tinos"/>
          <w:highlight w:val="none"/>
        </w:rPr>
      </w:r>
    </w:p>
    <w:p>
      <w:pPr>
        <w:spacing w:after="0" w:afterAutospacing="0" w:line="17" w:lineRule="atLeast"/>
        <w:rPr>
          <w:rFonts w:ascii="Tinos" w:hAnsi="Tinos" w:eastAsia="Tinos" w:cs="Tinos"/>
          <w:highlight w:val="none"/>
        </w:rPr>
      </w:pPr>
      <w:r>
        <w:rPr>
          <w:rFonts w:ascii="Tinos" w:hAnsi="Tinos" w:eastAsia="Tinos" w:cs="Tinos"/>
          <w:highlight w:val="none"/>
        </w:rPr>
        <w:t xml:space="preserve">Способ поставки:</w:t>
      </w:r>
      <w:r>
        <w:rPr>
          <w:rFonts w:ascii="Tinos" w:hAnsi="Tinos" w:eastAsia="Tinos" w:cs="Tinos"/>
          <w:highlight w:val="none"/>
        </w:rPr>
      </w:r>
      <w:r>
        <w:rPr>
          <w:rFonts w:ascii="Tinos" w:hAnsi="Tinos" w:eastAsia="Tinos" w:cs="Tinos"/>
          <w:highlight w:val="none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  <w:highlight w:val="none"/>
        </w:rPr>
        <w:t xml:space="preserve">__________________________________________________________________________________________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60"/>
        <w:gridCol w:w="4960"/>
      </w:tblGrid>
      <w:tr>
        <w:tblPrEx/>
        <w:trPr/>
        <w:tc>
          <w:tcPr>
            <w:tcW w:w="4960" w:type="dxa"/>
            <w:textDirection w:val="lrTb"/>
            <w:noWrap w:val="false"/>
          </w:tcPr>
          <w:p>
            <w:pPr>
              <w:ind w:firstLine="709"/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highlight w:val="none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both"/>
              <w:keepNext/>
              <w:spacing w:after="0" w:afterAutospacing="0" w:line="17" w:lineRule="atLeast"/>
              <w:rPr>
                <w:rFonts w:ascii="Tinos" w:hAnsi="Tinos" w:eastAsia="Tinos" w:cs="Tinos"/>
                <w:highlight w:val="none"/>
              </w:rPr>
            </w:pPr>
            <w:r>
              <w:rPr>
                <w:rFonts w:ascii="Tinos" w:hAnsi="Tinos" w:eastAsia="Tinos" w:cs="Tinos"/>
              </w:rPr>
              <w:t xml:space="preserve">ПОКУПАТЕЛЬ:</w:t>
            </w:r>
            <w:r>
              <w:rPr>
                <w:rFonts w:ascii="Tinos" w:hAnsi="Tinos" w:eastAsia="Tinos" w:cs="Tinos"/>
                <w:highlight w:val="none"/>
              </w:rPr>
            </w:r>
            <w:r>
              <w:rPr>
                <w:rFonts w:ascii="Tinos" w:hAnsi="Tinos" w:eastAsia="Tinos" w:cs="Tinos"/>
                <w:highlight w:val="none"/>
              </w:rPr>
            </w:r>
          </w:p>
          <w:p>
            <w:pPr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_____________________/ ________ /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МП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«____» ___________ 20__г.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ind w:firstLine="709"/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960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    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highlight w:val="none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both"/>
              <w:keepNext/>
              <w:spacing w:after="0" w:afterAutospacing="0" w:line="17" w:lineRule="atLeast"/>
              <w:rPr>
                <w:rFonts w:ascii="Tinos" w:hAnsi="Tinos" w:eastAsia="Tinos" w:cs="Tinos"/>
                <w:highlight w:val="none"/>
              </w:rPr>
            </w:pPr>
            <w:r>
              <w:rPr>
                <w:rFonts w:ascii="Tinos" w:hAnsi="Tinos" w:eastAsia="Tinos" w:cs="Tinos"/>
              </w:rPr>
              <w:t xml:space="preserve">ПОСТАВЩИК:</w:t>
            </w:r>
            <w:r>
              <w:rPr>
                <w:rFonts w:ascii="Tinos" w:hAnsi="Tinos" w:eastAsia="Tinos" w:cs="Tinos"/>
                <w:highlight w:val="none"/>
              </w:rPr>
            </w:r>
            <w:r>
              <w:rPr>
                <w:rFonts w:ascii="Tinos" w:hAnsi="Tinos" w:eastAsia="Tinos" w:cs="Tinos"/>
                <w:highlight w:val="none"/>
              </w:rPr>
            </w:r>
          </w:p>
          <w:p>
            <w:pPr>
              <w:ind w:firstLine="709"/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ind w:firstLine="709"/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_____________________/</w:t>
            </w:r>
            <w:r>
              <w:rPr>
                <w:rFonts w:ascii="Tinos" w:hAnsi="Tinos" w:eastAsia="Tinos" w:cs="Tinos"/>
              </w:rPr>
              <w:t xml:space="preserve"> </w:t>
            </w:r>
            <w:r>
              <w:rPr>
                <w:rFonts w:ascii="Tinos" w:hAnsi="Tinos" w:eastAsia="Tinos" w:cs="Tinos"/>
              </w:rPr>
              <w:t xml:space="preserve">_______ </w:t>
            </w:r>
            <w:r>
              <w:rPr>
                <w:rFonts w:ascii="Tinos" w:hAnsi="Tinos" w:eastAsia="Tinos" w:cs="Tinos"/>
                <w:bCs/>
              </w:rPr>
              <w:t xml:space="preserve">/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МП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ind w:firstLine="709"/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«____» ___________ 20__г.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ind w:firstLine="709"/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</w:tbl>
    <w:p>
      <w:pPr>
        <w:ind w:right="40"/>
        <w:spacing w:after="0" w:afterAutospacing="0" w:line="17" w:lineRule="atLeast"/>
        <w:widowControl w:val="off"/>
        <w:rPr>
          <w:rFonts w:ascii="Tinos" w:hAnsi="Tinos" w:cs="Tinos"/>
          <w:b/>
          <w:highlight w:val="yellow"/>
        </w:rPr>
        <w:pBdr>
          <w:bottom w:val="single" w:color="000000" w:sz="12" w:space="1"/>
        </w:pBdr>
      </w:pPr>
      <w:r>
        <w:rPr>
          <w:rFonts w:ascii="Tinos" w:hAnsi="Tinos" w:eastAsia="Tinos" w:cs="Tinos"/>
          <w:b/>
          <w:highlight w:val="yellow"/>
        </w:rPr>
      </w:r>
      <w:r>
        <w:rPr>
          <w:rFonts w:ascii="Tinos" w:hAnsi="Tinos" w:cs="Tinos"/>
          <w:b/>
          <w:highlight w:val="yellow"/>
        </w:rPr>
      </w:r>
      <w:r>
        <w:rPr>
          <w:rFonts w:ascii="Tinos" w:hAnsi="Tinos" w:cs="Tinos"/>
          <w:b/>
          <w:highlight w:val="yellow"/>
        </w:rPr>
      </w:r>
    </w:p>
    <w:p>
      <w:pPr>
        <w:ind w:right="40"/>
        <w:spacing w:after="0" w:afterAutospacing="0" w:line="17" w:lineRule="atLeast"/>
        <w:widowControl w:val="off"/>
        <w:rPr>
          <w:rFonts w:ascii="Tinos" w:hAnsi="Tinos" w:cs="Tinos"/>
          <w:b/>
          <w:highlight w:val="yellow"/>
        </w:rPr>
      </w:pPr>
      <w:r>
        <w:rPr>
          <w:rFonts w:ascii="Tinos" w:hAnsi="Tinos" w:eastAsia="Tinos" w:cs="Tinos"/>
          <w:b/>
          <w:highlight w:val="yellow"/>
        </w:rPr>
      </w:r>
      <w:r>
        <w:rPr>
          <w:rFonts w:ascii="Tinos" w:hAnsi="Tinos" w:cs="Tinos"/>
          <w:b/>
          <w:highlight w:val="yellow"/>
        </w:rPr>
      </w:r>
      <w:r>
        <w:rPr>
          <w:rFonts w:ascii="Tinos" w:hAnsi="Tinos" w:cs="Tinos"/>
          <w:b/>
          <w:highlight w:val="yellow"/>
        </w:rPr>
      </w:r>
    </w:p>
    <w:p>
      <w:pPr>
        <w:ind w:right="40"/>
        <w:spacing w:after="0" w:afterAutospacing="0" w:line="17" w:lineRule="atLeast"/>
        <w:widowControl w:val="off"/>
        <w:rPr>
          <w:rFonts w:ascii="Tinos" w:hAnsi="Tinos" w:cs="Tinos"/>
          <w:b/>
        </w:rPr>
      </w:pPr>
      <w:r>
        <w:rPr>
          <w:rFonts w:ascii="Tinos" w:hAnsi="Tinos" w:eastAsia="Tinos" w:cs="Tinos"/>
          <w:b/>
        </w:rPr>
        <w:t xml:space="preserve">Форму утверждаем:</w:t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ind w:right="40"/>
        <w:spacing w:after="0" w:afterAutospacing="0" w:line="17" w:lineRule="atLeast"/>
        <w:widowControl w:val="off"/>
        <w:rPr>
          <w:rFonts w:ascii="Tinos" w:hAnsi="Tinos" w:cs="Tinos"/>
          <w:b/>
        </w:rPr>
      </w:pPr>
      <w:r>
        <w:rPr>
          <w:rFonts w:ascii="Tinos" w:hAnsi="Tinos" w:eastAsia="Tinos" w:cs="Tinos"/>
          <w:b/>
        </w:rPr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tbl>
      <w:tblPr>
        <w:tblStyle w:val="1116"/>
        <w:tblW w:w="0" w:type="auto"/>
        <w:tblInd w:w="-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4960"/>
      </w:tblGrid>
      <w:tr>
        <w:tblPrEx/>
        <w:trPr/>
        <w:tc>
          <w:tcPr>
            <w:tcW w:w="4961" w:type="dxa"/>
            <w:textDirection w:val="lrTb"/>
            <w:noWrap w:val="false"/>
          </w:tcPr>
          <w:p>
            <w:pPr>
              <w:ind w:right="40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eastAsia="Tinos" w:cs="Tinos"/>
                <w:b/>
                <w:bCs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eastAsia="Tinos" w:cs="Tinos"/>
                <w:b/>
                <w:bCs/>
              </w:rPr>
              <w:t xml:space="preserve">  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eastAsia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right="40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eastAsia="Tinos" w:cs="Tinos"/>
                <w:b/>
                <w:bCs/>
              </w:rPr>
              <w:t xml:space="preserve">_____________________/ А.И. Таранков / 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right="40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eastAsia="Tinos" w:cs="Tinos"/>
                <w:b/>
                <w:bCs/>
              </w:rPr>
              <w:t xml:space="preserve">М.П.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</w:tc>
        <w:tc>
          <w:tcPr>
            <w:tcW w:w="4960" w:type="dxa"/>
            <w:textDirection w:val="lrTb"/>
            <w:noWrap w:val="false"/>
          </w:tcPr>
          <w:p>
            <w:pPr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eastAsia="Tinos" w:cs="Tinos"/>
                <w:b/>
                <w:bCs/>
              </w:rPr>
              <w:t xml:space="preserve">ПОСТАВЩИК:    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eastAsia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right="40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eastAsia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right="40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eastAsia="Tinos" w:cs="Tinos"/>
                <w:b/>
                <w:bCs/>
              </w:rPr>
              <w:t xml:space="preserve">_____________________/</w:t>
            </w:r>
            <w:r>
              <w:rPr>
                <w:rFonts w:ascii="Tinos" w:hAnsi="Tinos" w:eastAsia="Tinos" w:cs="Tinos"/>
                <w:b/>
                <w:bCs/>
              </w:rPr>
              <w:t xml:space="preserve"> </w:t>
            </w:r>
            <w:r>
              <w:rPr>
                <w:rFonts w:ascii="Tinos" w:hAnsi="Tinos" w:eastAsia="Tinos" w:cs="Tinos"/>
                <w:b/>
                <w:bCs/>
              </w:rPr>
              <w:t xml:space="preserve">_______ </w:t>
            </w:r>
            <w:r>
              <w:rPr>
                <w:rFonts w:ascii="Tinos" w:hAnsi="Tinos" w:eastAsia="Tinos" w:cs="Tinos"/>
                <w:b/>
                <w:bCs/>
              </w:rPr>
              <w:t xml:space="preserve">/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right="40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eastAsia="Tinos" w:cs="Tinos"/>
                <w:b/>
                <w:bCs/>
              </w:rPr>
              <w:t xml:space="preserve">М.П.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right="40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eastAsia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</w:tc>
      </w:tr>
    </w:tbl>
    <w:p>
      <w:pPr>
        <w:spacing w:after="0" w:afterAutospacing="0" w:line="17" w:lineRule="atLeast"/>
        <w:rPr>
          <w:rFonts w:ascii="Tinos" w:hAnsi="Tinos" w:cs="Tinos"/>
          <w:highlight w:val="green"/>
        </w:rPr>
      </w:pPr>
      <w:r>
        <w:rPr>
          <w:rFonts w:ascii="Tinos" w:hAnsi="Tinos" w:eastAsia="Tinos" w:cs="Tinos"/>
          <w:highlight w:val="green"/>
        </w:rPr>
      </w:r>
      <w:r>
        <w:rPr>
          <w:rFonts w:ascii="Tinos" w:hAnsi="Tinos" w:cs="Tinos"/>
          <w:highlight w:val="green"/>
        </w:rPr>
      </w:r>
      <w:r>
        <w:rPr>
          <w:rFonts w:ascii="Tinos" w:hAnsi="Tinos" w:cs="Tinos"/>
          <w:highlight w:val="green"/>
        </w:rPr>
      </w:r>
    </w:p>
    <w:p>
      <w:pPr>
        <w:spacing w:after="0" w:afterAutospacing="0" w:line="17" w:lineRule="atLeast"/>
        <w:rPr>
          <w:rFonts w:ascii="Tinos" w:hAnsi="Tinos" w:cs="Tinos"/>
          <w:highlight w:val="green"/>
        </w:rPr>
      </w:pPr>
      <w:r>
        <w:rPr>
          <w:rFonts w:ascii="Tinos" w:hAnsi="Tinos" w:eastAsia="Tinos" w:cs="Tinos"/>
          <w:highlight w:val="green"/>
        </w:rPr>
      </w:r>
      <w:r>
        <w:rPr>
          <w:rFonts w:ascii="Tinos" w:hAnsi="Tinos" w:cs="Tinos"/>
          <w:highlight w:val="green"/>
        </w:rPr>
      </w:r>
      <w:r>
        <w:rPr>
          <w:rFonts w:ascii="Tinos" w:hAnsi="Tinos" w:cs="Tinos"/>
          <w:highlight w:val="green"/>
        </w:rPr>
      </w:r>
    </w:p>
    <w:p>
      <w:pPr>
        <w:ind w:left="6803" w:right="0" w:firstLine="0"/>
        <w:jc w:val="left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 w:right="0" w:firstLine="0"/>
        <w:jc w:val="left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</w:rPr>
        <w:t xml:space="preserve">Приложе</w:t>
      </w:r>
      <w:r>
        <w:rPr>
          <w:rFonts w:ascii="Tinos" w:hAnsi="Tinos" w:eastAsia="Tinos" w:cs="Tinos"/>
          <w:sz w:val="20"/>
          <w:szCs w:val="20"/>
        </w:rPr>
        <w:t xml:space="preserve">ние № 5</w:t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к Д</w:t>
      </w:r>
      <w:r>
        <w:rPr>
          <w:rFonts w:ascii="Tinos" w:hAnsi="Tinos" w:eastAsia="Tinos" w:cs="Tinos"/>
          <w:sz w:val="20"/>
          <w:szCs w:val="20"/>
        </w:rPr>
        <w:t xml:space="preserve">оговору №_______</w:t>
      </w:r>
      <w:r>
        <w:rPr>
          <w:rFonts w:ascii="Tinos" w:hAnsi="Tinos" w:eastAsia="Tinos" w:cs="Tinos"/>
          <w:sz w:val="20"/>
          <w:szCs w:val="20"/>
        </w:rPr>
        <w:t xml:space="preserve">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 w:right="0" w:firstLine="0"/>
        <w:jc w:val="left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</w:rPr>
        <w:t xml:space="preserve">от "____" __________ 20___</w:t>
      </w:r>
      <w:r>
        <w:rPr>
          <w:rFonts w:ascii="Tinos" w:hAnsi="Tinos" w:cs="Tinos"/>
          <w:b/>
          <w:bCs/>
          <w:sz w:val="20"/>
          <w:szCs w:val="20"/>
          <w:highlight w:val="none"/>
        </w:rPr>
      </w:r>
      <w:r>
        <w:rPr>
          <w:rFonts w:ascii="Tinos" w:hAnsi="Tinos" w:cs="Tinos"/>
          <w:b/>
          <w:bCs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afterAutospacing="0" w:line="17" w:lineRule="atLeast"/>
        <w:rPr>
          <w:rFonts w:ascii="Tinos" w:hAnsi="Tinos" w:cs="Tinos"/>
          <w:b/>
          <w:bCs/>
          <w:sz w:val="22"/>
          <w:szCs w:val="22"/>
          <w14:ligatures w14:val="none"/>
        </w:rPr>
      </w:pPr>
      <w:r>
        <w:rPr>
          <w:rFonts w:ascii="Tinos" w:hAnsi="Tinos" w:eastAsia="Tinos" w:cs="Tinos"/>
          <w:b/>
          <w:bCs/>
          <w:sz w:val="22"/>
          <w:szCs w:val="22"/>
          <w:highlight w:val="none"/>
        </w:rPr>
      </w:r>
      <w:r>
        <w:rPr>
          <w:rFonts w:ascii="Tinos" w:hAnsi="Tinos" w:cs="Tinos"/>
          <w:b/>
          <w:bCs/>
          <w:sz w:val="22"/>
          <w:szCs w:val="22"/>
          <w14:ligatures w14:val="none"/>
        </w:rPr>
      </w:r>
      <w:r>
        <w:rPr>
          <w:rFonts w:ascii="Tinos" w:hAnsi="Tinos" w:cs="Tinos"/>
          <w:b/>
          <w:bCs/>
          <w:sz w:val="22"/>
          <w:szCs w:val="22"/>
          <w14:ligatures w14:val="none"/>
        </w:rPr>
      </w:r>
    </w:p>
    <w:p>
      <w:pPr>
        <w:jc w:val="center"/>
        <w:spacing w:after="0" w:afterAutospacing="0" w:line="17" w:lineRule="atLeast"/>
        <w:rPr>
          <w:rFonts w:ascii="Tinos" w:hAnsi="Tinos" w:eastAsia="Tinos" w:cs="Tinos"/>
          <w:b/>
          <w:bCs/>
          <w:sz w:val="22"/>
          <w:szCs w:val="22"/>
          <w:highlight w:val="none"/>
          <w14:ligatures w14:val="none"/>
        </w:rPr>
      </w:pPr>
      <w:r>
        <w:rPr>
          <w:rFonts w:ascii="Tinos" w:hAnsi="Tinos" w:eastAsia="Tinos" w:cs="Tinos"/>
          <w:b/>
          <w:bCs/>
          <w:sz w:val="22"/>
          <w:szCs w:val="22"/>
          <w:highlight w:val="none"/>
        </w:rPr>
        <w:t xml:space="preserve">У</w:t>
      </w:r>
      <w:r>
        <w:rPr>
          <w:rFonts w:ascii="Tinos" w:hAnsi="Tinos" w:eastAsia="Tinos" w:cs="Tinos"/>
          <w:b/>
          <w:bCs/>
          <w:sz w:val="22"/>
          <w:szCs w:val="22"/>
          <w:highlight w:val="none"/>
        </w:rPr>
        <w:t xml:space="preserve">словия предоставления обеспечения исполнения обязательств </w:t>
      </w:r>
      <w:r>
        <w:rPr>
          <w:rFonts w:ascii="Tinos" w:hAnsi="Tinos" w:eastAsia="Tinos" w:cs="Tinos"/>
          <w:b/>
          <w:bCs/>
          <w:sz w:val="22"/>
          <w:szCs w:val="22"/>
          <w:highlight w:val="none"/>
          <w14:ligatures w14:val="none"/>
        </w:rPr>
      </w:r>
      <w:r>
        <w:rPr>
          <w:rFonts w:ascii="Tinos" w:hAnsi="Tinos" w:eastAsia="Tinos" w:cs="Tinos"/>
          <w:b/>
          <w:bCs/>
          <w:sz w:val="22"/>
          <w:szCs w:val="22"/>
          <w:highlight w:val="none"/>
          <w14:ligatures w14:val="none"/>
        </w:rPr>
      </w:r>
    </w:p>
    <w:p>
      <w:pPr>
        <w:jc w:val="center"/>
        <w:spacing w:after="0" w:afterAutospacing="0" w:line="17" w:lineRule="atLeast"/>
        <w:rPr>
          <w:rFonts w:ascii="Tinos" w:hAnsi="Tinos" w:cs="Tinos"/>
          <w:sz w:val="20"/>
          <w:szCs w:val="20"/>
          <w:highlight w:val="none"/>
          <w14:ligatures w14:val="none"/>
        </w:rPr>
      </w:pPr>
      <w:r>
        <w:rPr>
          <w:rFonts w:ascii="Tinos" w:hAnsi="Tinos" w:eastAsia="Tinos" w:cs="Tinos"/>
          <w:b/>
          <w:bCs/>
          <w:sz w:val="22"/>
          <w:szCs w:val="22"/>
          <w:highlight w:val="none"/>
        </w:rPr>
        <w:t xml:space="preserve">при аномально низкой цене</w:t>
      </w:r>
      <w:r>
        <w:rPr>
          <w:rFonts w:ascii="Tinos" w:hAnsi="Tinos" w:cs="Tinos"/>
          <w:sz w:val="20"/>
          <w:szCs w:val="20"/>
          <w:highlight w:val="none"/>
          <w14:ligatures w14:val="none"/>
        </w:rPr>
      </w:r>
      <w:r>
        <w:rPr>
          <w:rFonts w:ascii="Tinos" w:hAnsi="Tinos" w:cs="Tinos"/>
          <w:sz w:val="20"/>
          <w:szCs w:val="20"/>
          <w:highlight w:val="none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rFonts w:ascii="Tinos" w:hAnsi="Tinos" w:eastAsia="Tinos" w:cs="Tinos"/>
          <w:sz w:val="20"/>
          <w:szCs w:val="20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</w:t>
      </w:r>
      <w:r>
        <w:rPr>
          <w:rFonts w:ascii="Tinos" w:hAnsi="Tinos" w:eastAsia="Tinos" w:cs="Tinos"/>
          <w:sz w:val="20"/>
          <w:szCs w:val="20"/>
        </w:rPr>
        <w:t xml:space="preserve">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</w:t>
      </w:r>
      <w:r>
        <w:rPr>
          <w:rFonts w:ascii="Tinos" w:hAnsi="Tinos" w:eastAsia="Tinos" w:cs="Tinos"/>
          <w:sz w:val="20"/>
          <w:szCs w:val="20"/>
        </w:rPr>
        <w:t xml:space="preserve">величен до 30% (тридцати)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</w:t>
      </w:r>
      <w:r>
        <w:rPr>
          <w:rFonts w:ascii="Tinos" w:hAnsi="Tinos" w:eastAsia="Tinos" w:cs="Tinos"/>
          <w:sz w:val="20"/>
          <w:szCs w:val="20"/>
        </w:rPr>
        <w:t xml:space="preserve">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</w:t>
      </w:r>
      <w:r>
        <w:rPr>
          <w:rFonts w:ascii="Tinos" w:hAnsi="Tinos" w:eastAsia="Tinos" w:cs="Tinos"/>
          <w:sz w:val="20"/>
          <w:szCs w:val="20"/>
        </w:rPr>
        <w:t xml:space="preserve">лнения Договора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</w:t>
      </w:r>
      <w:r>
        <w:rPr>
          <w:rFonts w:ascii="Tinos" w:hAnsi="Tinos" w:eastAsia="Tinos" w:cs="Tinos"/>
          <w:sz w:val="20"/>
          <w:szCs w:val="20"/>
        </w:rPr>
        <w:t xml:space="preserve">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</w:t>
      </w:r>
      <w:r>
        <w:rPr>
          <w:rFonts w:ascii="Tinos" w:hAnsi="Tinos" w:eastAsia="Tinos" w:cs="Tinos"/>
          <w:sz w:val="20"/>
          <w:szCs w:val="20"/>
        </w:rPr>
        <w:t xml:space="preserve">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</w:t>
      </w:r>
      <w:r>
        <w:rPr>
          <w:rFonts w:ascii="Tinos" w:hAnsi="Tinos" w:eastAsia="Tinos" w:cs="Tinos"/>
          <w:sz w:val="20"/>
          <w:szCs w:val="20"/>
        </w:rPr>
        <w:t xml:space="preserve">ожении сумма обеспечения на исполнение обязательств по Договору увеличивается в 1,5 (полтора) раза от первоначально установленной, но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предпринимательства)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</w:t>
      </w:r>
      <w:r>
        <w:rPr>
          <w:rFonts w:ascii="Tinos" w:hAnsi="Tinos" w:eastAsia="Tinos" w:cs="Tinos"/>
          <w:sz w:val="20"/>
          <w:szCs w:val="20"/>
        </w:rPr>
        <w:t xml:space="preserve">ие на исполнение обязательств по Договору в размере 3% (трех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</w:t>
      </w:r>
      <w:r>
        <w:rPr>
          <w:rFonts w:ascii="Tinos" w:hAnsi="Tinos" w:eastAsia="Tinos" w:cs="Tinos"/>
          <w:sz w:val="20"/>
          <w:szCs w:val="20"/>
        </w:rPr>
        <w:t xml:space="preserve">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</w:t>
      </w:r>
      <w:r>
        <w:rPr>
          <w:rFonts w:ascii="Tinos" w:hAnsi="Tinos" w:eastAsia="Tinos" w:cs="Tinos"/>
          <w:sz w:val="20"/>
          <w:szCs w:val="20"/>
        </w:rPr>
        <w:t xml:space="preserve">сполнение обязательств по Договору в размере аванса. При этом отдельное обеспечение на возврат авансовых платежей не предоставляется.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</w:t>
      </w:r>
      <w:r>
        <w:rPr>
          <w:rFonts w:ascii="Tinos" w:hAnsi="Tinos" w:eastAsia="Tinos" w:cs="Tinos"/>
          <w:sz w:val="20"/>
          <w:szCs w:val="20"/>
        </w:rPr>
        <w:t xml:space="preserve">м ценовом предложении требуется предоставить обеспечение на исполнение обязательств по Договору в размере аванса.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</w:t>
      </w:r>
      <w:r>
        <w:rPr>
          <w:rFonts w:ascii="Tinos" w:hAnsi="Tinos" w:eastAsia="Tinos" w:cs="Tinos"/>
          <w:sz w:val="20"/>
          <w:szCs w:val="20"/>
        </w:rPr>
        <w:t xml:space="preserve">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</w:t>
      </w:r>
      <w:r>
        <w:rPr>
          <w:rFonts w:ascii="Tinos" w:hAnsi="Tinos" w:eastAsia="Tinos" w:cs="Tinos"/>
          <w:sz w:val="20"/>
          <w:szCs w:val="20"/>
        </w:rPr>
        <w:t xml:space="preserve">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</w:t>
      </w:r>
      <w:r>
        <w:rPr>
          <w:rFonts w:ascii="Tinos" w:hAnsi="Tinos" w:eastAsia="Tinos" w:cs="Tinos"/>
          <w:sz w:val="20"/>
          <w:szCs w:val="20"/>
        </w:rPr>
        <w:t xml:space="preserve">й не предоставляется.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</w:t>
      </w:r>
      <w:r>
        <w:rPr>
          <w:rFonts w:ascii="Tinos" w:hAnsi="Tinos" w:eastAsia="Tinos" w:cs="Tinos"/>
          <w:sz w:val="20"/>
          <w:szCs w:val="20"/>
        </w:rPr>
        <w:t xml:space="preserve">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 Обеспечение исполнения Договора, предусмотренное в пункте 1, предоставляется до заключения Договора.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hAnsi="Tinos" w:eastAsia="Tinos" w:cs="Tinos"/>
          <w:sz w:val="20"/>
          <w:szCs w:val="20"/>
        </w:rPr>
        <w:t xml:space="preserve">вке товаров/ выполнению работ/ оказанию услуг в соответствии с условиями Договора в полном объеме.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 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перечисляются на расчетный счет Покупателя, указанный в извещ</w:t>
      </w:r>
      <w:r>
        <w:rPr>
          <w:rFonts w:ascii="Tinos" w:hAnsi="Tinos" w:eastAsia="Tinos" w:cs="Tinos"/>
          <w:sz w:val="20"/>
          <w:szCs w:val="20"/>
        </w:rPr>
        <w:t xml:space="preserve">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В случае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</w:t>
      </w:r>
      <w:r>
        <w:rPr>
          <w:rFonts w:ascii="Tinos" w:hAnsi="Tinos" w:eastAsia="Tinos" w:cs="Tinos"/>
          <w:sz w:val="20"/>
          <w:szCs w:val="20"/>
        </w:rPr>
        <w:t xml:space="preserve"> гарантам, установленным в извещении и/или документации о закупке.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организационно-распорядительными документами Покупателя, регламентирующим порядо</w:t>
      </w:r>
      <w:r>
        <w:rPr>
          <w:rFonts w:ascii="Tinos" w:hAnsi="Tinos" w:eastAsia="Tinos" w:cs="Tinos"/>
          <w:sz w:val="20"/>
          <w:szCs w:val="20"/>
        </w:rPr>
        <w:t xml:space="preserve">к работы с обеспечением.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 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</w:t>
      </w:r>
      <w:r>
        <w:rPr>
          <w:rFonts w:ascii="Tinos" w:hAnsi="Tinos" w:eastAsia="Tinos" w:cs="Tinos"/>
          <w:sz w:val="20"/>
          <w:szCs w:val="20"/>
        </w:rPr>
        <w:t xml:space="preserve">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</w:t>
      </w:r>
      <w:r>
        <w:rPr>
          <w:rFonts w:ascii="Tinos" w:hAnsi="Tinos" w:eastAsia="Tinos" w:cs="Tinos"/>
          <w:sz w:val="20"/>
          <w:szCs w:val="20"/>
        </w:rPr>
        <w:t xml:space="preserve">ентами Покупателя.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>
        <w:tblPrEx/>
        <w:trPr>
          <w:trHeight w:val="411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</w:p>
          <w:p>
            <w:pPr>
              <w:jc w:val="both"/>
              <w:spacing w:after="0" w:afterAutospacing="0" w:line="17" w:lineRule="atLeast"/>
              <w:rPr>
                <w:rFonts w:ascii="Tinos" w:hAnsi="Tinos" w:eastAsia="Tinos" w:cs="Tinos"/>
                <w:b/>
                <w:bCs/>
                <w:sz w:val="22"/>
                <w:szCs w:val="22"/>
                <w:highlight w:val="none"/>
                <w14:ligatures w14:val="none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Покупатель: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  <w:highlight w:val="none"/>
                <w14:ligatures w14:val="none"/>
              </w:rPr>
            </w:r>
          </w:p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</w:p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_____________________/ А.И. Таранков /</w:t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</w:p>
          <w:p>
            <w:pPr>
              <w:jc w:val="both"/>
              <w:spacing w:after="0" w:afterAutospacing="0" w:line="17" w:lineRule="atLeast"/>
              <w:rPr>
                <w:rFonts w:ascii="Tinos" w:hAnsi="Tinos" w:eastAsia="Tinos" w:cs="Tinos"/>
                <w:b/>
                <w:bCs/>
                <w:sz w:val="22"/>
                <w:szCs w:val="22"/>
                <w:highlight w:val="none"/>
                <w14:ligatures w14:val="none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Поставщик: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  <w:highlight w:val="none"/>
                <w14:ligatures w14:val="none"/>
              </w:rPr>
            </w:r>
          </w:p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</w:p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_____________________/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 /</w:t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394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679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«_____» _____________20___г.</w:t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</w:p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</w:p>
        </w:tc>
      </w:tr>
    </w:tbl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:highlight w:val="green"/>
          <w14:ligatures w14:val="none"/>
        </w:rPr>
      </w:pP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:highlight w:val="green"/>
          <w14:ligatures w14:val="none"/>
        </w:rPr>
      </w:pP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:highlight w:val="green"/>
          <w14:ligatures w14:val="none"/>
        </w:rPr>
      </w:pP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:highlight w:val="green"/>
          <w14:ligatures w14:val="none"/>
        </w:rPr>
      </w:pP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:highlight w:val="green"/>
          <w14:ligatures w14:val="none"/>
        </w:rPr>
      </w:pP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:highlight w:val="green"/>
          <w14:ligatures w14:val="none"/>
        </w:rPr>
      </w:pP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:highlight w:val="green"/>
          <w14:ligatures w14:val="none"/>
        </w:rPr>
      </w:pP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:highlight w:val="green"/>
          <w14:ligatures w14:val="none"/>
        </w:rPr>
      </w:pP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:highlight w:val="green"/>
          <w14:ligatures w14:val="none"/>
        </w:rPr>
      </w:pP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</w:p>
    <w:sectPr>
      <w:footnotePr/>
      <w:endnotePr/>
      <w:type w:val="continuous"/>
      <w:pgSz w:w="11906" w:h="16838" w:orient="portrait"/>
      <w:pgMar w:top="709" w:right="992" w:bottom="567" w:left="993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00603000000000000"/>
  </w:font>
  <w:font w:name="Wingdings">
    <w:panose1 w:val="05000000000000000000"/>
  </w:font>
  <w:font w:name="Symbol">
    <w:panose1 w:val="05050102010706020507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Arial Narrow">
    <w:panose1 w:val="020B06060202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05986287"/>
      <w:docPartObj>
        <w:docPartGallery w:val="Page Numbers (Bottom of Page)"/>
        <w:docPartUnique w:val="true"/>
      </w:docPartObj>
      <w:rPr/>
    </w:sdtPr>
    <w:sdtContent>
      <w:p>
        <w:pPr>
          <w:pStyle w:val="109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3</w:t>
        </w:r>
        <w:r>
          <w:fldChar w:fldCharType="end"/>
        </w:r>
        <w:r/>
      </w:p>
    </w:sdtContent>
  </w:sdt>
  <w:p>
    <w:pPr>
      <w:pStyle w:val="1091"/>
    </w:pPr>
    <w:r/>
    <w:r/>
  </w:p>
  <w:p>
    <w:pPr>
      <w:pStyle w:val="1091"/>
    </w:pPr>
    <w:r/>
    <w:r/>
  </w:p>
  <w:p>
    <w:pPr>
      <w:pStyle w:val="109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063"/>
        <w:jc w:val="both"/>
        <w:spacing w:before="0" w:after="0" w:line="17" w:lineRule="atLeast"/>
        <w:rPr>
          <w:i/>
        </w:rPr>
      </w:pPr>
      <w:r>
        <w:rPr>
          <w:rStyle w:val="1081"/>
          <w:rFonts w:ascii="Tinos" w:hAnsi="Tinos" w:eastAsia="Tinos" w:cs="Tinos"/>
          <w:i/>
          <w:sz w:val="18"/>
          <w:szCs w:val="18"/>
        </w:rPr>
        <w:footnoteRef/>
      </w:r>
      <w:r>
        <w:rPr>
          <w:rFonts w:ascii="Tinos" w:hAnsi="Tinos" w:eastAsia="Tinos" w:cs="Tinos"/>
          <w:i/>
          <w:sz w:val="18"/>
          <w:szCs w:val="18"/>
        </w:rPr>
        <w:t xml:space="preserve"> Пункт включается в условия договора, заключаемого с контрагентом, имеющим признаки </w:t>
      </w:r>
      <w:r>
        <w:rPr>
          <w:rFonts w:ascii="Tinos" w:hAnsi="Tinos" w:eastAsia="Tinos" w:cs="Tinos"/>
          <w:i/>
          <w:sz w:val="18"/>
          <w:szCs w:val="18"/>
        </w:rPr>
        <w:t xml:space="preserve">аффилированности</w:t>
      </w:r>
      <w:r>
        <w:rPr>
          <w:rFonts w:ascii="Tinos" w:hAnsi="Tinos" w:eastAsia="Tinos" w:cs="Tinos"/>
          <w:i/>
          <w:sz w:val="18"/>
          <w:szCs w:val="18"/>
        </w:rPr>
        <w:t xml:space="preserve"> с Обществом).</w:t>
      </w:r>
      <w:r>
        <w:rPr>
          <w:i/>
        </w:rPr>
      </w:r>
      <w:r>
        <w:rPr>
          <w:i/>
        </w:rPr>
      </w:r>
    </w:p>
  </w:footnote>
  <w:footnote w:id="3">
    <w:p>
      <w:pPr>
        <w:pStyle w:val="1063"/>
        <w:spacing w:before="0" w:beforeAutospacing="0"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Style w:val="1081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Включается в текст договора только в случае наличия в конкурсной/закупочной документации требования о привлечении субъектов малого и сред</w:t>
      </w:r>
      <w:r>
        <w:rPr>
          <w:rFonts w:ascii="Tinos" w:hAnsi="Tinos" w:eastAsia="Tinos" w:cs="Tinos"/>
          <w:i/>
          <w:sz w:val="18"/>
          <w:szCs w:val="18"/>
        </w:rPr>
        <w:t xml:space="preserve">него предпринимательства на выполнение субподрядных работ, а также в </w:t>
      </w:r>
      <w:r>
        <w:rPr>
          <w:rFonts w:ascii="Tinos" w:hAnsi="Tinos" w:eastAsia="Tinos" w:cs="Tinos"/>
          <w:i/>
          <w:sz w:val="18"/>
          <w:szCs w:val="18"/>
        </w:rPr>
        <w:t xml:space="preserve">случае наличия соответствующих обязательств в оферте Поставщика поданной на участие в закуп</w:t>
      </w:r>
      <w:r>
        <w:rPr>
          <w:rFonts w:ascii="Tinos" w:hAnsi="Tinos" w:eastAsia="Tinos" w:cs="Tinos"/>
          <w:i/>
          <w:sz w:val="18"/>
          <w:szCs w:val="18"/>
        </w:rPr>
        <w:t xml:space="preserve">очной</w:t>
      </w:r>
      <w:r>
        <w:rPr>
          <w:rFonts w:ascii="Tinos" w:hAnsi="Tinos" w:eastAsia="Tinos" w:cs="Tinos"/>
          <w:i/>
          <w:sz w:val="18"/>
          <w:szCs w:val="18"/>
        </w:rPr>
        <w:t xml:space="preserve"> процедуре.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</w:footnote>
  <w:footnote w:id="4">
    <w:p>
      <w:pPr>
        <w:pStyle w:val="1117"/>
        <w:spacing w:before="0" w:beforeAutospacing="0" w:after="0" w:afterAutospacing="0" w:line="17" w:lineRule="atLeast"/>
        <w:tabs>
          <w:tab w:val="left" w:pos="-142" w:leader="none"/>
        </w:tabs>
        <w:rPr>
          <w:rFonts w:ascii="Tinos" w:hAnsi="Tinos" w:cs="Tinos"/>
          <w:i/>
          <w:sz w:val="18"/>
          <w:szCs w:val="18"/>
        </w:rPr>
      </w:pPr>
      <w:r>
        <w:rPr>
          <w:rStyle w:val="1118"/>
          <w:rFonts w:ascii="Tinos" w:hAnsi="Tinos" w:eastAsia="Tinos" w:cs="Tinos"/>
          <w:sz w:val="18"/>
          <w:szCs w:val="18"/>
        </w:rPr>
        <w:footnoteRef/>
      </w:r>
      <w:r>
        <w:rPr>
          <w:rStyle w:val="1118"/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Включается, если договором предусмотрено обеспечение в форме независимой гарантии.</w:t>
      </w:r>
      <w:r>
        <w:rPr>
          <w:rFonts w:ascii="Tinos" w:hAnsi="Tinos" w:cs="Tinos"/>
          <w:i/>
          <w:sz w:val="18"/>
          <w:szCs w:val="18"/>
        </w:rPr>
      </w:r>
      <w:r>
        <w:rPr>
          <w:rFonts w:ascii="Tinos" w:hAnsi="Tinos" w:cs="Tinos"/>
          <w:i/>
          <w:sz w:val="18"/>
          <w:szCs w:val="18"/>
        </w:rPr>
      </w:r>
    </w:p>
  </w:footnote>
  <w:footnote w:id="5">
    <w:p>
      <w:pPr>
        <w:pStyle w:val="1063"/>
      </w:pPr>
      <w:r>
        <w:rPr>
          <w:rStyle w:val="1081"/>
        </w:rPr>
        <w:footnoteRef/>
      </w:r>
      <w:r>
        <w:t xml:space="preserve"> </w:t>
      </w:r>
      <w:r>
        <w:rPr>
          <w:rFonts w:ascii="Times New Roman" w:hAnsi="Times New Roman" w:eastAsia="Times New Roman" w:cs="Times New Roman"/>
          <w:i/>
          <w:iCs/>
          <w:highlight w:val="white"/>
        </w:rPr>
        <w:t xml:space="preserve">Абзац не распространяется на обязательства по оплате субъектам малого и среднего предпринимательства.</w:t>
      </w:r>
      <w:r/>
    </w:p>
  </w:footnote>
  <w:footnote w:id="6">
    <w:p>
      <w:pPr>
        <w:pStyle w:val="1063"/>
        <w:spacing w:before="0" w:beforeAutospacing="0" w:after="0" w:afterAutospacing="0" w:line="17" w:lineRule="atLeast"/>
        <w:rPr>
          <w:rFonts w:ascii="Tinos" w:hAnsi="Tinos" w:cs="Tinos"/>
          <w:sz w:val="18"/>
          <w:szCs w:val="18"/>
        </w:rPr>
      </w:pPr>
      <w:r>
        <w:rPr>
          <w:rStyle w:val="1081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  <w:r>
        <w:rPr>
          <w:rFonts w:ascii="Tinos" w:hAnsi="Tinos" w:cs="Tinos"/>
          <w:sz w:val="18"/>
          <w:szCs w:val="18"/>
        </w:rPr>
      </w:r>
      <w:r>
        <w:rPr>
          <w:rFonts w:ascii="Tinos" w:hAnsi="Tinos" w:cs="Tinos"/>
          <w:sz w:val="18"/>
          <w:szCs w:val="18"/>
        </w:rPr>
      </w:r>
    </w:p>
  </w:footnote>
  <w:footnote w:id="7">
    <w:p>
      <w:pPr>
        <w:pStyle w:val="1063"/>
        <w:spacing w:before="0" w:beforeAutospacing="0" w:after="0" w:afterAutospacing="0" w:line="17" w:lineRule="atLeast"/>
      </w:pPr>
      <w:r>
        <w:rPr>
          <w:rStyle w:val="1081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</w:t>
      </w:r>
      <w:r>
        <w:rPr>
          <w:rFonts w:ascii="Tinos" w:hAnsi="Tinos" w:eastAsia="Tinos" w:cs="Tinos"/>
          <w:i/>
          <w:sz w:val="18"/>
          <w:szCs w:val="18"/>
        </w:rPr>
        <w:t xml:space="preserve">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  <w:r/>
    </w:p>
  </w:footnote>
  <w:footnote w:id="8">
    <w:p>
      <w:pPr>
        <w:pStyle w:val="1063"/>
        <w:spacing w:before="0" w:beforeAutospacing="0" w:after="0" w:afterAutospacing="0" w:line="17" w:lineRule="atLeast"/>
      </w:pPr>
      <w:r>
        <w:rPr>
          <w:rStyle w:val="1081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bCs/>
          <w:i/>
          <w:sz w:val="18"/>
          <w:szCs w:val="18"/>
        </w:rPr>
        <w:t xml:space="preserve">Раздел включается при заключении договоров с субъектами малого и среднего пре</w:t>
      </w:r>
      <w:r>
        <w:rPr>
          <w:rFonts w:ascii="Tinos" w:hAnsi="Tinos" w:eastAsia="Tinos" w:cs="Tinos"/>
          <w:bCs/>
          <w:i/>
          <w:sz w:val="18"/>
          <w:szCs w:val="18"/>
        </w:rPr>
        <w:t xml:space="preserve">дпринимательства на поставку товаров, выполнение работ, оказание услуг</w:t>
      </w:r>
      <w:r>
        <w:rPr>
          <w:rFonts w:ascii="Tinos" w:hAnsi="Tinos" w:eastAsia="Tinos" w:cs="Tinos"/>
          <w:sz w:val="18"/>
          <w:szCs w:val="18"/>
        </w:rPr>
        <w:t xml:space="preserve">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14" w:hanging="360"/>
      </w:pPr>
      <w:rPr>
        <w:rFonts w:hint="default" w:eastAsia="Times New Roman"/>
        <w:b/>
      </w:rPr>
    </w:lvl>
    <w:lvl w:ilvl="1">
      <w:start w:val="1"/>
      <w:numFmt w:val="decimal"/>
      <w:isLgl/>
      <w:suff w:val="tab"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suff w:val="tab"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suff w:val="tab"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pStyle w:val="1077"/>
      <w:isLgl w:val="false"/>
      <w:suff w:val="tab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1078"/>
      <w:isLgl w:val="false"/>
      <w:suff w:val="tab"/>
      <w:lvlText w:val="%1.%2"/>
      <w:lvlJc w:val="left"/>
      <w:pPr>
        <w:ind w:left="2705" w:hanging="720"/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1079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6.2.1.%4"/>
      <w:lvlJc w:val="left"/>
      <w:pPr>
        <w:ind w:left="1222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582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5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37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9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1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3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5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7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9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16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5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37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9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1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3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5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7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9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16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1."/>
      <w:lvlJc w:val="left"/>
      <w:pPr>
        <w:ind w:left="360" w:hanging="360"/>
        <w:tabs>
          <w:tab w:val="num" w:pos="360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b w:val="0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5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styleLink w:val="1082"/>
    <w:lvl w:ilvl="0">
      <w:start w:val="2"/>
      <w:numFmt w:val="decimal"/>
      <w:pStyle w:val="108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1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23" w:hanging="360"/>
        <w:tabs>
          <w:tab w:val="num" w:pos="7023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</w:abstractNum>
  <w:abstractNum w:abstractNumId="2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3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0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7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40" w:hanging="180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1418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138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578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298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738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458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178" w:hanging="180"/>
      </w:pPr>
    </w:lvl>
  </w:abstractNum>
  <w:abstractNum w:abstractNumId="35">
    <w:multiLevelType w:val="hybridMultilevel"/>
    <w:lvl w:ilvl="0">
      <w:start w:val="10"/>
      <w:numFmt w:val="decimal"/>
      <w:isLgl w:val="false"/>
      <w:suff w:val="tab"/>
      <w:lvlText w:val="%1."/>
      <w:lvlJc w:val="right"/>
      <w:pPr>
        <w:ind w:left="1418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138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578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298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738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458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178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38">
    <w:multiLevelType w:val="hybridMultilevel"/>
    <w:lvl w:ilvl="0">
      <w:start w:val="2"/>
      <w:numFmt w:val="decimal"/>
      <w:isLgl w:val="false"/>
      <w:suff w:val="tab"/>
      <w:lvlText w:val="%1."/>
      <w:lvlJc w:val="right"/>
      <w:pPr>
        <w:ind w:left="1418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138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578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298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738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458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178" w:hanging="180"/>
      </w:p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1."/>
      <w:lvlJc w:val="left"/>
      <w:pPr>
        <w:ind w:left="360" w:hanging="360"/>
        <w:tabs>
          <w:tab w:val="num" w:pos="360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b w:val="0"/>
      </w:rPr>
    </w:lvl>
  </w:abstractNum>
  <w:abstractNum w:abstractNumId="47">
    <w:multiLevelType w:val="hybridMultilevel"/>
    <w:styleLink w:val="1082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4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644" w:hanging="360"/>
        <w:tabs>
          <w:tab w:val="num" w:pos="644" w:leader="none"/>
        </w:tabs>
      </w:pPr>
      <w:rPr>
        <w:rFonts w:ascii="Tinos" w:hAnsi="Tinos" w:eastAsia="Tinos" w:cs="Tinos"/>
        <w:b w:val="0"/>
        <w:i w:val="0"/>
        <w:sz w:val="22"/>
        <w:szCs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49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644" w:hanging="360"/>
        <w:tabs>
          <w:tab w:val="num" w:pos="644" w:leader="none"/>
        </w:tabs>
      </w:pPr>
      <w:rPr>
        <w:rFonts w:ascii="Tinos" w:hAnsi="Tinos" w:eastAsia="Tinos" w:cs="Tinos"/>
        <w:b w:val="0"/>
        <w:i w:val="0"/>
        <w:sz w:val="22"/>
        <w:szCs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7"/>
    <w:lvlOverride w:ilvl="0">
      <w:startOverride w:val="2"/>
      <w:lvl w:ilvl="0">
        <w:start w:val="2"/>
        <w:numFmt w:val="decimal"/>
        <w:pStyle w:val="1082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7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5"/>
  </w:num>
  <w:num w:numId="11">
    <w:abstractNumId w:val="23"/>
  </w:num>
  <w:num w:numId="12">
    <w:abstractNumId w:val="27"/>
  </w:num>
  <w:num w:numId="13">
    <w:abstractNumId w:val="9"/>
  </w:num>
  <w:num w:numId="14">
    <w:abstractNumId w:val="2"/>
  </w:num>
  <w:num w:numId="15">
    <w:abstractNumId w:val="26"/>
  </w:num>
  <w:num w:numId="16">
    <w:abstractNumId w:val="3"/>
  </w:num>
  <w:num w:numId="17">
    <w:abstractNumId w:val="15"/>
  </w:num>
  <w:num w:numId="18">
    <w:abstractNumId w:val="6"/>
  </w:num>
  <w:num w:numId="19">
    <w:abstractNumId w:val="22"/>
  </w:num>
  <w:num w:numId="20">
    <w:abstractNumId w:val="4"/>
  </w:num>
  <w:num w:numId="21">
    <w:abstractNumId w:val="20"/>
  </w:num>
  <w:num w:numId="22">
    <w:abstractNumId w:val="0"/>
  </w:num>
  <w:num w:numId="23">
    <w:abstractNumId w:val="10"/>
  </w:num>
  <w:num w:numId="24">
    <w:abstractNumId w:val="12"/>
  </w:num>
  <w:num w:numId="25">
    <w:abstractNumId w:val="19"/>
  </w:num>
  <w:num w:numId="26">
    <w:abstractNumId w:val="1"/>
  </w:num>
  <w:num w:numId="27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18"/>
  </w:num>
  <w:num w:numId="30">
    <w:abstractNumId w:val="11"/>
  </w:num>
  <w:num w:numId="31">
    <w:abstractNumId w:val="28"/>
  </w:num>
  <w:num w:numId="32">
    <w:abstractNumId w:val="16"/>
  </w:num>
  <w:num w:numId="33">
    <w:abstractNumId w:val="14"/>
  </w:num>
  <w:num w:numId="34">
    <w:abstractNumId w:val="24"/>
  </w:num>
  <w:num w:numId="35">
    <w:abstractNumId w:val="31"/>
  </w:num>
  <w:num w:numId="36">
    <w:abstractNumId w:val="32"/>
  </w:num>
  <w:num w:numId="37">
    <w:abstractNumId w:val="33"/>
  </w:num>
  <w:num w:numId="38">
    <w:abstractNumId w:val="34"/>
  </w:num>
  <w:num w:numId="39">
    <w:abstractNumId w:val="35"/>
  </w:num>
  <w:num w:numId="40">
    <w:abstractNumId w:val="36"/>
  </w:num>
  <w:num w:numId="41">
    <w:abstractNumId w:val="37"/>
  </w:num>
  <w:num w:numId="42">
    <w:abstractNumId w:val="38"/>
  </w:num>
  <w:num w:numId="43">
    <w:abstractNumId w:val="39"/>
  </w:num>
  <w:num w:numId="44">
    <w:abstractNumId w:val="40"/>
  </w:num>
  <w:num w:numId="45">
    <w:abstractNumId w:val="41"/>
  </w:num>
  <w:num w:numId="46">
    <w:abstractNumId w:val="42"/>
  </w:num>
  <w:num w:numId="47">
    <w:abstractNumId w:val="43"/>
  </w:num>
  <w:num w:numId="48">
    <w:abstractNumId w:val="44"/>
  </w:num>
  <w:num w:numId="49">
    <w:abstractNumId w:val="45"/>
  </w:num>
  <w:num w:numId="5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7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52">
    <w:abstractNumId w:val="48"/>
  </w:num>
  <w:num w:numId="53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82">
    <w:name w:val="Heading 2 Char"/>
    <w:basedOn w:val="902"/>
    <w:link w:val="894"/>
    <w:uiPriority w:val="9"/>
    <w:rPr>
      <w:rFonts w:ascii="Arial" w:hAnsi="Arial" w:eastAsia="Arial" w:cs="Arial"/>
      <w:sz w:val="34"/>
    </w:rPr>
  </w:style>
  <w:style w:type="character" w:styleId="883">
    <w:name w:val="Heading 4 Char"/>
    <w:basedOn w:val="902"/>
    <w:link w:val="896"/>
    <w:uiPriority w:val="9"/>
    <w:rPr>
      <w:rFonts w:ascii="Arial" w:hAnsi="Arial" w:eastAsia="Arial" w:cs="Arial"/>
      <w:b/>
      <w:bCs/>
      <w:sz w:val="26"/>
      <w:szCs w:val="26"/>
    </w:rPr>
  </w:style>
  <w:style w:type="character" w:styleId="884">
    <w:name w:val="Heading 5 Char"/>
    <w:basedOn w:val="902"/>
    <w:link w:val="897"/>
    <w:uiPriority w:val="9"/>
    <w:rPr>
      <w:rFonts w:ascii="Arial" w:hAnsi="Arial" w:eastAsia="Arial" w:cs="Arial"/>
      <w:b/>
      <w:bCs/>
      <w:sz w:val="24"/>
      <w:szCs w:val="24"/>
    </w:rPr>
  </w:style>
  <w:style w:type="character" w:styleId="885">
    <w:name w:val="Heading 6 Char"/>
    <w:basedOn w:val="902"/>
    <w:link w:val="898"/>
    <w:uiPriority w:val="9"/>
    <w:rPr>
      <w:rFonts w:ascii="Arial" w:hAnsi="Arial" w:eastAsia="Arial" w:cs="Arial"/>
      <w:b/>
      <w:bCs/>
      <w:sz w:val="22"/>
      <w:szCs w:val="22"/>
    </w:rPr>
  </w:style>
  <w:style w:type="character" w:styleId="886">
    <w:name w:val="Heading 7 Char"/>
    <w:basedOn w:val="902"/>
    <w:link w:val="89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87">
    <w:name w:val="Heading 8 Char"/>
    <w:basedOn w:val="902"/>
    <w:link w:val="900"/>
    <w:uiPriority w:val="9"/>
    <w:rPr>
      <w:rFonts w:ascii="Arial" w:hAnsi="Arial" w:eastAsia="Arial" w:cs="Arial"/>
      <w:i/>
      <w:iCs/>
      <w:sz w:val="22"/>
      <w:szCs w:val="22"/>
    </w:rPr>
  </w:style>
  <w:style w:type="character" w:styleId="888">
    <w:name w:val="Heading 9 Char"/>
    <w:basedOn w:val="902"/>
    <w:link w:val="901"/>
    <w:uiPriority w:val="9"/>
    <w:rPr>
      <w:rFonts w:ascii="Arial" w:hAnsi="Arial" w:eastAsia="Arial" w:cs="Arial"/>
      <w:i/>
      <w:iCs/>
      <w:sz w:val="21"/>
      <w:szCs w:val="21"/>
    </w:rPr>
  </w:style>
  <w:style w:type="character" w:styleId="889">
    <w:name w:val="Subtitle Char"/>
    <w:basedOn w:val="902"/>
    <w:link w:val="915"/>
    <w:uiPriority w:val="11"/>
    <w:rPr>
      <w:sz w:val="24"/>
      <w:szCs w:val="24"/>
    </w:rPr>
  </w:style>
  <w:style w:type="character" w:styleId="890">
    <w:name w:val="Quote Char"/>
    <w:link w:val="917"/>
    <w:uiPriority w:val="29"/>
    <w:rPr>
      <w:i/>
    </w:rPr>
  </w:style>
  <w:style w:type="character" w:styleId="891">
    <w:name w:val="Intense Quote Char"/>
    <w:link w:val="919"/>
    <w:uiPriority w:val="30"/>
    <w:rPr>
      <w:i/>
    </w:rPr>
  </w:style>
  <w:style w:type="paragraph" w:styleId="892" w:default="1">
    <w:name w:val="Normal"/>
    <w:qFormat/>
  </w:style>
  <w:style w:type="paragraph" w:styleId="893">
    <w:name w:val="Heading 1"/>
    <w:basedOn w:val="892"/>
    <w:next w:val="892"/>
    <w:link w:val="1083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94">
    <w:name w:val="Heading 2"/>
    <w:basedOn w:val="892"/>
    <w:next w:val="892"/>
    <w:link w:val="906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895">
    <w:name w:val="Heading 3"/>
    <w:basedOn w:val="892"/>
    <w:next w:val="892"/>
    <w:link w:val="1084"/>
    <w:uiPriority w:val="9"/>
    <w:semiHidden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96">
    <w:name w:val="Heading 4"/>
    <w:basedOn w:val="892"/>
    <w:next w:val="892"/>
    <w:link w:val="908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97">
    <w:name w:val="Heading 5"/>
    <w:basedOn w:val="892"/>
    <w:next w:val="892"/>
    <w:link w:val="909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98">
    <w:name w:val="Heading 6"/>
    <w:basedOn w:val="892"/>
    <w:next w:val="892"/>
    <w:link w:val="910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899">
    <w:name w:val="Heading 7"/>
    <w:basedOn w:val="892"/>
    <w:next w:val="892"/>
    <w:link w:val="911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900">
    <w:name w:val="Heading 8"/>
    <w:basedOn w:val="892"/>
    <w:next w:val="892"/>
    <w:link w:val="912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901">
    <w:name w:val="Heading 9"/>
    <w:basedOn w:val="892"/>
    <w:next w:val="892"/>
    <w:link w:val="913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02" w:default="1">
    <w:name w:val="Default Paragraph Font"/>
    <w:uiPriority w:val="1"/>
    <w:semiHidden/>
    <w:unhideWhenUsed/>
  </w:style>
  <w:style w:type="table" w:styleId="90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4" w:default="1">
    <w:name w:val="No List"/>
    <w:uiPriority w:val="99"/>
    <w:semiHidden/>
    <w:unhideWhenUsed/>
  </w:style>
  <w:style w:type="character" w:styleId="905" w:customStyle="1">
    <w:name w:val="Heading 1 Char"/>
    <w:basedOn w:val="902"/>
    <w:uiPriority w:val="9"/>
    <w:rPr>
      <w:rFonts w:ascii="Arial" w:hAnsi="Arial" w:eastAsia="Arial" w:cs="Arial"/>
      <w:sz w:val="40"/>
      <w:szCs w:val="40"/>
    </w:rPr>
  </w:style>
  <w:style w:type="character" w:styleId="906" w:customStyle="1">
    <w:name w:val="Заголовок 2 Знак"/>
    <w:basedOn w:val="902"/>
    <w:link w:val="894"/>
    <w:uiPriority w:val="9"/>
    <w:rPr>
      <w:rFonts w:ascii="Arial" w:hAnsi="Arial" w:eastAsia="Arial" w:cs="Arial"/>
      <w:sz w:val="34"/>
    </w:rPr>
  </w:style>
  <w:style w:type="character" w:styleId="907" w:customStyle="1">
    <w:name w:val="Heading 3 Char"/>
    <w:basedOn w:val="902"/>
    <w:uiPriority w:val="9"/>
    <w:rPr>
      <w:rFonts w:ascii="Arial" w:hAnsi="Arial" w:eastAsia="Arial" w:cs="Arial"/>
      <w:sz w:val="30"/>
      <w:szCs w:val="30"/>
    </w:rPr>
  </w:style>
  <w:style w:type="character" w:styleId="908" w:customStyle="1">
    <w:name w:val="Заголовок 4 Знак"/>
    <w:basedOn w:val="902"/>
    <w:link w:val="896"/>
    <w:uiPriority w:val="9"/>
    <w:rPr>
      <w:rFonts w:ascii="Arial" w:hAnsi="Arial" w:eastAsia="Arial" w:cs="Arial"/>
      <w:b/>
      <w:bCs/>
      <w:sz w:val="26"/>
      <w:szCs w:val="26"/>
    </w:rPr>
  </w:style>
  <w:style w:type="character" w:styleId="909" w:customStyle="1">
    <w:name w:val="Заголовок 5 Знак"/>
    <w:basedOn w:val="902"/>
    <w:link w:val="897"/>
    <w:uiPriority w:val="9"/>
    <w:rPr>
      <w:rFonts w:ascii="Arial" w:hAnsi="Arial" w:eastAsia="Arial" w:cs="Arial"/>
      <w:b/>
      <w:bCs/>
      <w:sz w:val="24"/>
      <w:szCs w:val="24"/>
    </w:rPr>
  </w:style>
  <w:style w:type="character" w:styleId="910" w:customStyle="1">
    <w:name w:val="Заголовок 6 Знак"/>
    <w:basedOn w:val="902"/>
    <w:link w:val="898"/>
    <w:uiPriority w:val="9"/>
    <w:rPr>
      <w:rFonts w:ascii="Arial" w:hAnsi="Arial" w:eastAsia="Arial" w:cs="Arial"/>
      <w:b/>
      <w:bCs/>
      <w:sz w:val="22"/>
      <w:szCs w:val="22"/>
    </w:rPr>
  </w:style>
  <w:style w:type="character" w:styleId="911" w:customStyle="1">
    <w:name w:val="Заголовок 7 Знак"/>
    <w:basedOn w:val="902"/>
    <w:link w:val="89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12" w:customStyle="1">
    <w:name w:val="Заголовок 8 Знак"/>
    <w:basedOn w:val="902"/>
    <w:link w:val="900"/>
    <w:uiPriority w:val="9"/>
    <w:rPr>
      <w:rFonts w:ascii="Arial" w:hAnsi="Arial" w:eastAsia="Arial" w:cs="Arial"/>
      <w:i/>
      <w:iCs/>
      <w:sz w:val="22"/>
      <w:szCs w:val="22"/>
    </w:rPr>
  </w:style>
  <w:style w:type="character" w:styleId="913" w:customStyle="1">
    <w:name w:val="Заголовок 9 Знак"/>
    <w:basedOn w:val="902"/>
    <w:link w:val="901"/>
    <w:uiPriority w:val="9"/>
    <w:rPr>
      <w:rFonts w:ascii="Arial" w:hAnsi="Arial" w:eastAsia="Arial" w:cs="Arial"/>
      <w:i/>
      <w:iCs/>
      <w:sz w:val="21"/>
      <w:szCs w:val="21"/>
    </w:rPr>
  </w:style>
  <w:style w:type="character" w:styleId="914" w:customStyle="1">
    <w:name w:val="Title Char"/>
    <w:basedOn w:val="902"/>
    <w:uiPriority w:val="10"/>
    <w:rPr>
      <w:sz w:val="48"/>
      <w:szCs w:val="48"/>
    </w:rPr>
  </w:style>
  <w:style w:type="paragraph" w:styleId="915">
    <w:name w:val="Subtitle"/>
    <w:basedOn w:val="892"/>
    <w:next w:val="892"/>
    <w:link w:val="916"/>
    <w:uiPriority w:val="11"/>
    <w:qFormat/>
    <w:pPr>
      <w:spacing w:before="200"/>
    </w:pPr>
    <w:rPr>
      <w:sz w:val="24"/>
      <w:szCs w:val="24"/>
    </w:rPr>
  </w:style>
  <w:style w:type="character" w:styleId="916" w:customStyle="1">
    <w:name w:val="Подзаголовок Знак"/>
    <w:basedOn w:val="902"/>
    <w:link w:val="915"/>
    <w:uiPriority w:val="11"/>
    <w:rPr>
      <w:sz w:val="24"/>
      <w:szCs w:val="24"/>
    </w:rPr>
  </w:style>
  <w:style w:type="paragraph" w:styleId="917">
    <w:name w:val="Quote"/>
    <w:basedOn w:val="892"/>
    <w:next w:val="892"/>
    <w:link w:val="918"/>
    <w:uiPriority w:val="29"/>
    <w:qFormat/>
    <w:pPr>
      <w:ind w:left="720" w:right="720"/>
    </w:pPr>
    <w:rPr>
      <w:i/>
    </w:rPr>
  </w:style>
  <w:style w:type="character" w:styleId="918" w:customStyle="1">
    <w:name w:val="Цитата 2 Знак"/>
    <w:link w:val="917"/>
    <w:uiPriority w:val="29"/>
    <w:rPr>
      <w:i/>
    </w:rPr>
  </w:style>
  <w:style w:type="paragraph" w:styleId="919">
    <w:name w:val="Intense Quote"/>
    <w:basedOn w:val="892"/>
    <w:next w:val="892"/>
    <w:link w:val="92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20" w:customStyle="1">
    <w:name w:val="Выделенная цитата Знак"/>
    <w:link w:val="919"/>
    <w:uiPriority w:val="30"/>
    <w:rPr>
      <w:i/>
    </w:rPr>
  </w:style>
  <w:style w:type="character" w:styleId="921" w:customStyle="1">
    <w:name w:val="Header Char"/>
    <w:basedOn w:val="902"/>
    <w:uiPriority w:val="99"/>
  </w:style>
  <w:style w:type="character" w:styleId="922" w:customStyle="1">
    <w:name w:val="Footer Char"/>
    <w:basedOn w:val="902"/>
    <w:uiPriority w:val="99"/>
  </w:style>
  <w:style w:type="paragraph" w:styleId="923">
    <w:name w:val="Caption"/>
    <w:basedOn w:val="892"/>
    <w:next w:val="892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924" w:customStyle="1">
    <w:name w:val="Caption Char"/>
    <w:uiPriority w:val="99"/>
  </w:style>
  <w:style w:type="table" w:styleId="925" w:customStyle="1">
    <w:name w:val="Table Grid Light"/>
    <w:basedOn w:val="90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26">
    <w:name w:val="Plain Table 1"/>
    <w:basedOn w:val="90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27">
    <w:name w:val="Plain Table 2"/>
    <w:basedOn w:val="903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28">
    <w:name w:val="Plain Table 3"/>
    <w:basedOn w:val="90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29">
    <w:name w:val="Plain Table 4"/>
    <w:basedOn w:val="90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Plain Table 5"/>
    <w:basedOn w:val="90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31">
    <w:name w:val="Grid Table 1 Light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 w:customStyle="1">
    <w:name w:val="Grid Table 1 Light - Accent 1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 w:customStyle="1">
    <w:name w:val="Grid Table 1 Light - Accent 2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 w:customStyle="1">
    <w:name w:val="Grid Table 1 Light - Accent 3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 w:customStyle="1">
    <w:name w:val="Grid Table 1 Light - Accent 4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 w:customStyle="1">
    <w:name w:val="Grid Table 1 Light - Accent 5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 w:customStyle="1">
    <w:name w:val="Grid Table 1 Light - Accent 6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Grid Table 2"/>
    <w:basedOn w:val="9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Grid Table 2 - Accent 1"/>
    <w:basedOn w:val="9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 w:customStyle="1">
    <w:name w:val="Grid Table 2 - Accent 2"/>
    <w:basedOn w:val="9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 w:customStyle="1">
    <w:name w:val="Grid Table 2 - Accent 3"/>
    <w:basedOn w:val="9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 w:customStyle="1">
    <w:name w:val="Grid Table 2 - Accent 4"/>
    <w:basedOn w:val="9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 w:customStyle="1">
    <w:name w:val="Grid Table 2 - Accent 5"/>
    <w:basedOn w:val="9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 w:customStyle="1">
    <w:name w:val="Grid Table 2 - Accent 6"/>
    <w:basedOn w:val="9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Grid Table 3"/>
    <w:basedOn w:val="9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 w:customStyle="1">
    <w:name w:val="Grid Table 3 - Accent 1"/>
    <w:basedOn w:val="9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 w:customStyle="1">
    <w:name w:val="Grid Table 3 - Accent 2"/>
    <w:basedOn w:val="9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 w:customStyle="1">
    <w:name w:val="Grid Table 3 - Accent 3"/>
    <w:basedOn w:val="9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 w:customStyle="1">
    <w:name w:val="Grid Table 3 - Accent 4"/>
    <w:basedOn w:val="9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 w:customStyle="1">
    <w:name w:val="Grid Table 3 - Accent 5"/>
    <w:basedOn w:val="9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 w:customStyle="1">
    <w:name w:val="Grid Table 3 - Accent 6"/>
    <w:basedOn w:val="9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Grid Table 4"/>
    <w:basedOn w:val="903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53" w:customStyle="1">
    <w:name w:val="Grid Table 4 - Accent 1"/>
    <w:basedOn w:val="903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54" w:customStyle="1">
    <w:name w:val="Grid Table 4 - Accent 2"/>
    <w:basedOn w:val="903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55" w:customStyle="1">
    <w:name w:val="Grid Table 4 - Accent 3"/>
    <w:basedOn w:val="903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56" w:customStyle="1">
    <w:name w:val="Grid Table 4 - Accent 4"/>
    <w:basedOn w:val="903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57" w:customStyle="1">
    <w:name w:val="Grid Table 4 - Accent 5"/>
    <w:basedOn w:val="903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58" w:customStyle="1">
    <w:name w:val="Grid Table 4 - Accent 6"/>
    <w:basedOn w:val="90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59">
    <w:name w:val="Grid Table 5 Dark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60" w:customStyle="1">
    <w:name w:val="Grid Table 5 Dark- Accent 1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61" w:customStyle="1">
    <w:name w:val="Grid Table 5 Dark - Accent 2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62" w:customStyle="1">
    <w:name w:val="Grid Table 5 Dark - Accent 3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63" w:customStyle="1">
    <w:name w:val="Grid Table 5 Dark- Accent 4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64" w:customStyle="1">
    <w:name w:val="Grid Table 5 Dark - Accent 5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65" w:customStyle="1">
    <w:name w:val="Grid Table 5 Dark - Accent 6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66">
    <w:name w:val="Grid Table 6 Colorful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67" w:customStyle="1">
    <w:name w:val="Grid Table 6 Colorful - Accent 1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68" w:customStyle="1">
    <w:name w:val="Grid Table 6 Colorful - Accent 2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69" w:customStyle="1">
    <w:name w:val="Grid Table 6 Colorful - Accent 3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70" w:customStyle="1">
    <w:name w:val="Grid Table 6 Colorful - Accent 4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71" w:customStyle="1">
    <w:name w:val="Grid Table 6 Colorful - Accent 5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72" w:customStyle="1">
    <w:name w:val="Grid Table 6 Colorful - Accent 6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73">
    <w:name w:val="Grid Table 7 Colorful"/>
    <w:basedOn w:val="9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 w:customStyle="1">
    <w:name w:val="Grid Table 7 Colorful - Accent 1"/>
    <w:basedOn w:val="9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 w:customStyle="1">
    <w:name w:val="Grid Table 7 Colorful - Accent 2"/>
    <w:basedOn w:val="9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 w:customStyle="1">
    <w:name w:val="Grid Table 7 Colorful - Accent 3"/>
    <w:basedOn w:val="9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 w:customStyle="1">
    <w:name w:val="Grid Table 7 Colorful - Accent 4"/>
    <w:basedOn w:val="9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 w:customStyle="1">
    <w:name w:val="Grid Table 7 Colorful - Accent 5"/>
    <w:basedOn w:val="9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 w:customStyle="1">
    <w:name w:val="Grid Table 7 Colorful - Accent 6"/>
    <w:basedOn w:val="9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>
    <w:name w:val="List Table 1 Light"/>
    <w:basedOn w:val="90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 w:customStyle="1">
    <w:name w:val="List Table 1 Light - Accent 1"/>
    <w:basedOn w:val="90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 w:customStyle="1">
    <w:name w:val="List Table 1 Light - Accent 2"/>
    <w:basedOn w:val="90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 w:customStyle="1">
    <w:name w:val="List Table 1 Light - Accent 3"/>
    <w:basedOn w:val="90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 w:customStyle="1">
    <w:name w:val="List Table 1 Light - Accent 4"/>
    <w:basedOn w:val="90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 w:customStyle="1">
    <w:name w:val="List Table 1 Light - Accent 5"/>
    <w:basedOn w:val="90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 w:customStyle="1">
    <w:name w:val="List Table 1 Light - Accent 6"/>
    <w:basedOn w:val="90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List Table 2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88" w:customStyle="1">
    <w:name w:val="List Table 2 - Accent 1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89" w:customStyle="1">
    <w:name w:val="List Table 2 - Accent 2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90" w:customStyle="1">
    <w:name w:val="List Table 2 - Accent 3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91" w:customStyle="1">
    <w:name w:val="List Table 2 - Accent 4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92" w:customStyle="1">
    <w:name w:val="List Table 2 - Accent 5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93" w:customStyle="1">
    <w:name w:val="List Table 2 - Accent 6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94">
    <w:name w:val="List Table 3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5" w:customStyle="1">
    <w:name w:val="List Table 3 - Accent 1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6" w:customStyle="1">
    <w:name w:val="List Table 3 - Accent 2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7" w:customStyle="1">
    <w:name w:val="List Table 3 - Accent 3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8" w:customStyle="1">
    <w:name w:val="List Table 3 - Accent 4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9" w:customStyle="1">
    <w:name w:val="List Table 3 - Accent 5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0" w:customStyle="1">
    <w:name w:val="List Table 3 - Accent 6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1">
    <w:name w:val="List Table 4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 w:customStyle="1">
    <w:name w:val="List Table 4 - Accent 1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 w:customStyle="1">
    <w:name w:val="List Table 4 - Accent 2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 w:customStyle="1">
    <w:name w:val="List Table 4 - Accent 3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 w:customStyle="1">
    <w:name w:val="List Table 4 - Accent 4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 w:customStyle="1">
    <w:name w:val="List Table 4 - Accent 5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 w:customStyle="1">
    <w:name w:val="List Table 4 - Accent 6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>
    <w:name w:val="List Table 5 Dark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09" w:customStyle="1">
    <w:name w:val="List Table 5 Dark - Accent 1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0" w:customStyle="1">
    <w:name w:val="List Table 5 Dark - Accent 2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1" w:customStyle="1">
    <w:name w:val="List Table 5 Dark - Accent 3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2" w:customStyle="1">
    <w:name w:val="List Table 5 Dark - Accent 4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3" w:customStyle="1">
    <w:name w:val="List Table 5 Dark - Accent 5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4" w:customStyle="1">
    <w:name w:val="List Table 5 Dark - Accent 6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5">
    <w:name w:val="List Table 6 Colorful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16" w:customStyle="1">
    <w:name w:val="List Table 6 Colorful - Accent 1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017" w:customStyle="1">
    <w:name w:val="List Table 6 Colorful - Accent 2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018" w:customStyle="1">
    <w:name w:val="List Table 6 Colorful - Accent 3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019" w:customStyle="1">
    <w:name w:val="List Table 6 Colorful - Accent 4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020" w:customStyle="1">
    <w:name w:val="List Table 6 Colorful - Accent 5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021" w:customStyle="1">
    <w:name w:val="List Table 6 Colorful - Accent 6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022">
    <w:name w:val="List Table 7 Colorful"/>
    <w:basedOn w:val="90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 w:customStyle="1">
    <w:name w:val="List Table 7 Colorful - Accent 1"/>
    <w:basedOn w:val="90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 w:customStyle="1">
    <w:name w:val="List Table 7 Colorful - Accent 2"/>
    <w:basedOn w:val="90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 w:customStyle="1">
    <w:name w:val="List Table 7 Colorful - Accent 3"/>
    <w:basedOn w:val="90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 w:customStyle="1">
    <w:name w:val="List Table 7 Colorful - Accent 4"/>
    <w:basedOn w:val="90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 w:customStyle="1">
    <w:name w:val="List Table 7 Colorful - Accent 5"/>
    <w:basedOn w:val="90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 w:customStyle="1">
    <w:name w:val="List Table 7 Colorful - Accent 6"/>
    <w:basedOn w:val="90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 w:customStyle="1">
    <w:name w:val="Lined - Accent"/>
    <w:basedOn w:val="90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30" w:customStyle="1">
    <w:name w:val="Lined - Accent 1"/>
    <w:basedOn w:val="90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31" w:customStyle="1">
    <w:name w:val="Lined - Accent 2"/>
    <w:basedOn w:val="90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32" w:customStyle="1">
    <w:name w:val="Lined - Accent 3"/>
    <w:basedOn w:val="90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33" w:customStyle="1">
    <w:name w:val="Lined - Accent 4"/>
    <w:basedOn w:val="90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34" w:customStyle="1">
    <w:name w:val="Lined - Accent 5"/>
    <w:basedOn w:val="90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35" w:customStyle="1">
    <w:name w:val="Lined - Accent 6"/>
    <w:basedOn w:val="90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36" w:customStyle="1">
    <w:name w:val="Bordered &amp; Lined - Accent"/>
    <w:basedOn w:val="90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37" w:customStyle="1">
    <w:name w:val="Bordered &amp; Lined - Accent 1"/>
    <w:basedOn w:val="90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38" w:customStyle="1">
    <w:name w:val="Bordered &amp; Lined - Accent 2"/>
    <w:basedOn w:val="90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39" w:customStyle="1">
    <w:name w:val="Bordered &amp; Lined - Accent 3"/>
    <w:basedOn w:val="90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40" w:customStyle="1">
    <w:name w:val="Bordered &amp; Lined - Accent 4"/>
    <w:basedOn w:val="90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41" w:customStyle="1">
    <w:name w:val="Bordered &amp; Lined - Accent 5"/>
    <w:basedOn w:val="90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42" w:customStyle="1">
    <w:name w:val="Bordered &amp; Lined - Accent 6"/>
    <w:basedOn w:val="90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43" w:customStyle="1">
    <w:name w:val="Bordered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44" w:customStyle="1">
    <w:name w:val="Bordered - Accent 1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045" w:customStyle="1">
    <w:name w:val="Bordered - Accent 2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046" w:customStyle="1">
    <w:name w:val="Bordered - Accent 3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047" w:customStyle="1">
    <w:name w:val="Bordered - Accent 4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48" w:customStyle="1">
    <w:name w:val="Bordered - Accent 5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49" w:customStyle="1">
    <w:name w:val="Bordered - Accent 6"/>
    <w:basedOn w:val="9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50" w:customStyle="1">
    <w:name w:val="Footnote Text Char"/>
    <w:uiPriority w:val="99"/>
    <w:rPr>
      <w:sz w:val="18"/>
    </w:rPr>
  </w:style>
  <w:style w:type="character" w:styleId="1051" w:customStyle="1">
    <w:name w:val="Endnote Text Char"/>
    <w:uiPriority w:val="99"/>
    <w:rPr>
      <w:sz w:val="20"/>
    </w:rPr>
  </w:style>
  <w:style w:type="paragraph" w:styleId="1052">
    <w:name w:val="toc 1"/>
    <w:basedOn w:val="892"/>
    <w:next w:val="892"/>
    <w:uiPriority w:val="39"/>
    <w:unhideWhenUsed/>
    <w:pPr>
      <w:spacing w:after="57"/>
    </w:pPr>
  </w:style>
  <w:style w:type="paragraph" w:styleId="1053">
    <w:name w:val="toc 2"/>
    <w:basedOn w:val="892"/>
    <w:next w:val="892"/>
    <w:uiPriority w:val="39"/>
    <w:unhideWhenUsed/>
    <w:pPr>
      <w:ind w:left="283"/>
      <w:spacing w:after="57"/>
    </w:pPr>
  </w:style>
  <w:style w:type="paragraph" w:styleId="1054">
    <w:name w:val="toc 3"/>
    <w:basedOn w:val="892"/>
    <w:next w:val="892"/>
    <w:uiPriority w:val="39"/>
    <w:unhideWhenUsed/>
    <w:pPr>
      <w:ind w:left="567"/>
      <w:spacing w:after="57"/>
    </w:pPr>
  </w:style>
  <w:style w:type="paragraph" w:styleId="1055">
    <w:name w:val="toc 4"/>
    <w:basedOn w:val="892"/>
    <w:next w:val="892"/>
    <w:uiPriority w:val="39"/>
    <w:unhideWhenUsed/>
    <w:pPr>
      <w:ind w:left="850"/>
      <w:spacing w:after="57"/>
    </w:pPr>
  </w:style>
  <w:style w:type="paragraph" w:styleId="1056">
    <w:name w:val="toc 5"/>
    <w:basedOn w:val="892"/>
    <w:next w:val="892"/>
    <w:uiPriority w:val="39"/>
    <w:unhideWhenUsed/>
    <w:pPr>
      <w:ind w:left="1134"/>
      <w:spacing w:after="57"/>
    </w:pPr>
  </w:style>
  <w:style w:type="paragraph" w:styleId="1057">
    <w:name w:val="toc 6"/>
    <w:basedOn w:val="892"/>
    <w:next w:val="892"/>
    <w:uiPriority w:val="39"/>
    <w:unhideWhenUsed/>
    <w:pPr>
      <w:ind w:left="1417"/>
      <w:spacing w:after="57"/>
    </w:pPr>
  </w:style>
  <w:style w:type="paragraph" w:styleId="1058">
    <w:name w:val="toc 7"/>
    <w:basedOn w:val="892"/>
    <w:next w:val="892"/>
    <w:uiPriority w:val="39"/>
    <w:unhideWhenUsed/>
    <w:pPr>
      <w:ind w:left="1701"/>
      <w:spacing w:after="57"/>
    </w:pPr>
  </w:style>
  <w:style w:type="paragraph" w:styleId="1059">
    <w:name w:val="toc 8"/>
    <w:basedOn w:val="892"/>
    <w:next w:val="892"/>
    <w:uiPriority w:val="39"/>
    <w:unhideWhenUsed/>
    <w:pPr>
      <w:ind w:left="1984"/>
      <w:spacing w:after="57"/>
    </w:pPr>
  </w:style>
  <w:style w:type="paragraph" w:styleId="1060">
    <w:name w:val="toc 9"/>
    <w:basedOn w:val="892"/>
    <w:next w:val="892"/>
    <w:uiPriority w:val="39"/>
    <w:unhideWhenUsed/>
    <w:pPr>
      <w:ind w:left="2268"/>
      <w:spacing w:after="57"/>
    </w:pPr>
  </w:style>
  <w:style w:type="paragraph" w:styleId="1061">
    <w:name w:val="TOC Heading"/>
    <w:uiPriority w:val="39"/>
    <w:unhideWhenUsed/>
  </w:style>
  <w:style w:type="paragraph" w:styleId="1062">
    <w:name w:val="table of figures"/>
    <w:basedOn w:val="892"/>
    <w:next w:val="892"/>
    <w:uiPriority w:val="99"/>
    <w:unhideWhenUsed/>
    <w:pPr>
      <w:spacing w:after="0"/>
    </w:pPr>
  </w:style>
  <w:style w:type="paragraph" w:styleId="1063">
    <w:name w:val="footnote text"/>
    <w:basedOn w:val="892"/>
    <w:link w:val="1064"/>
    <w:uiPriority w:val="99"/>
    <w:semiHidden/>
    <w:unhideWhenUsed/>
    <w:pPr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64" w:customStyle="1">
    <w:name w:val="Текст сноски Знак"/>
    <w:basedOn w:val="902"/>
    <w:link w:val="1063"/>
    <w:uiPriority w:val="99"/>
    <w:semiHidden/>
    <w:rPr>
      <w:rFonts w:ascii="Times New Roman" w:hAnsi="Times New Roman" w:eastAsia="Times New Roman" w:cs="Times New Roman"/>
      <w:sz w:val="20"/>
      <w:szCs w:val="20"/>
    </w:rPr>
  </w:style>
  <w:style w:type="paragraph" w:styleId="1065">
    <w:name w:val="Title"/>
    <w:basedOn w:val="892"/>
    <w:link w:val="1066"/>
    <w:qFormat/>
    <w:pPr>
      <w:ind w:right="-1050"/>
      <w:jc w:val="center"/>
      <w:spacing w:before="120"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66" w:customStyle="1">
    <w:name w:val="Заголовок Знак"/>
    <w:basedOn w:val="902"/>
    <w:link w:val="1065"/>
    <w:rPr>
      <w:rFonts w:ascii="Times New Roman" w:hAnsi="Times New Roman" w:eastAsia="Times New Roman" w:cs="Times New Roman"/>
      <w:sz w:val="24"/>
      <w:szCs w:val="24"/>
    </w:rPr>
  </w:style>
  <w:style w:type="character" w:styleId="1067" w:customStyle="1">
    <w:name w:val="Основной текст Знак"/>
    <w:basedOn w:val="902"/>
    <w:link w:val="1068"/>
    <w:rPr>
      <w:rFonts w:ascii="Times New Roman" w:hAnsi="Times New Roman" w:eastAsia="Times New Roman" w:cs="Times New Roman"/>
      <w:sz w:val="28"/>
      <w:szCs w:val="28"/>
    </w:rPr>
  </w:style>
  <w:style w:type="paragraph" w:styleId="1068">
    <w:name w:val="Body Text"/>
    <w:basedOn w:val="892"/>
    <w:link w:val="1067"/>
    <w:unhideWhenUsed/>
    <w:pPr>
      <w:ind w:firstLine="567"/>
      <w:jc w:val="both"/>
      <w:spacing w:before="120" w:after="120" w:line="36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069" w:customStyle="1">
    <w:name w:val="Основной текст Знак1"/>
    <w:basedOn w:val="902"/>
    <w:uiPriority w:val="99"/>
    <w:semiHidden/>
  </w:style>
  <w:style w:type="paragraph" w:styleId="1070">
    <w:name w:val="Body Text Indent"/>
    <w:basedOn w:val="892"/>
    <w:link w:val="1071"/>
    <w:uiPriority w:val="99"/>
    <w:unhideWhenUsed/>
    <w:pPr>
      <w:ind w:left="283"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71" w:customStyle="1">
    <w:name w:val="Основной текст с отступом Знак"/>
    <w:basedOn w:val="902"/>
    <w:link w:val="1070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072">
    <w:name w:val="Body Text 2"/>
    <w:basedOn w:val="892"/>
    <w:link w:val="1073"/>
    <w:unhideWhenUsed/>
    <w:pPr>
      <w:ind w:firstLine="567"/>
      <w:jc w:val="both"/>
      <w:spacing w:before="120" w:after="120" w:line="48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073" w:customStyle="1">
    <w:name w:val="Основной текст 2 Знак"/>
    <w:basedOn w:val="902"/>
    <w:link w:val="1072"/>
    <w:rPr>
      <w:rFonts w:ascii="Times New Roman" w:hAnsi="Times New Roman" w:eastAsia="Times New Roman" w:cs="Times New Roman"/>
      <w:sz w:val="28"/>
      <w:szCs w:val="28"/>
    </w:rPr>
  </w:style>
  <w:style w:type="paragraph" w:styleId="1074">
    <w:name w:val="Body Text 3"/>
    <w:basedOn w:val="892"/>
    <w:link w:val="1075"/>
    <w:uiPriority w:val="99"/>
    <w:semiHidden/>
    <w:unhideWhenUsed/>
    <w:pPr>
      <w:ind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1075" w:customStyle="1">
    <w:name w:val="Основной текст 3 Знак"/>
    <w:basedOn w:val="902"/>
    <w:link w:val="1074"/>
    <w:uiPriority w:val="99"/>
    <w:semiHidden/>
    <w:rPr>
      <w:rFonts w:ascii="Times New Roman" w:hAnsi="Times New Roman" w:eastAsia="Times New Roman" w:cs="Times New Roman"/>
      <w:sz w:val="16"/>
      <w:szCs w:val="16"/>
    </w:rPr>
  </w:style>
  <w:style w:type="paragraph" w:styleId="1076">
    <w:name w:val="No Spacing"/>
    <w:link w:val="1087"/>
    <w:uiPriority w:val="1"/>
    <w:qFormat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077" w:customStyle="1">
    <w:name w:val="МРСК_заголовок_1"/>
    <w:basedOn w:val="893"/>
    <w:pPr>
      <w:numPr>
        <w:ilvl w:val="0"/>
        <w:numId w:val="1"/>
      </w:numPr>
      <w:jc w:val="both"/>
      <w:keepLines w:val="0"/>
      <w:spacing w:before="240" w:after="60" w:line="300" w:lineRule="auto"/>
      <w:shd w:val="clear" w:color="auto" w:fill="d9d9d9"/>
    </w:pPr>
    <w:rPr>
      <w:rFonts w:ascii="Times New Roman" w:hAnsi="Times New Roman" w:eastAsia="Times New Roman" w:cs="Arial"/>
      <w:caps/>
      <w:color w:val="auto"/>
    </w:rPr>
  </w:style>
  <w:style w:type="paragraph" w:styleId="1078" w:customStyle="1">
    <w:name w:val="МРСК_заголовок_2"/>
    <w:basedOn w:val="892"/>
    <w:pPr>
      <w:numPr>
        <w:ilvl w:val="1"/>
        <w:numId w:val="1"/>
      </w:numPr>
      <w:contextualSpacing/>
      <w:keepNext/>
      <w:spacing w:before="240" w:after="60" w:line="240" w:lineRule="auto"/>
      <w:widowControl w:val="off"/>
      <w:suppressLineNumbers/>
    </w:pPr>
    <w:rPr>
      <w:rFonts w:ascii="Times New Roman" w:hAnsi="Times New Roman" w:eastAsia="Times New Roman" w:cs="Times New Roman"/>
      <w:b/>
      <w:caps/>
      <w:sz w:val="26"/>
      <w:szCs w:val="24"/>
    </w:rPr>
  </w:style>
  <w:style w:type="paragraph" w:styleId="1079" w:customStyle="1">
    <w:name w:val="МРСК_заголовок_3"/>
    <w:basedOn w:val="895"/>
    <w:qFormat/>
    <w:pPr>
      <w:numPr>
        <w:ilvl w:val="2"/>
        <w:numId w:val="1"/>
      </w:numPr>
      <w:jc w:val="both"/>
      <w:keepLines w:val="0"/>
      <w:spacing w:before="240" w:after="60" w:line="300" w:lineRule="auto"/>
    </w:pPr>
    <w:rPr>
      <w:rFonts w:ascii="Times New Roman" w:hAnsi="Times New Roman" w:eastAsia="Times New Roman" w:cs="Times New Roman"/>
      <w:color w:val="auto"/>
      <w:sz w:val="24"/>
      <w:szCs w:val="26"/>
    </w:rPr>
  </w:style>
  <w:style w:type="paragraph" w:styleId="1080" w:customStyle="1">
    <w:name w:val="Обычный2"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81">
    <w:name w:val="footnote reference"/>
    <w:uiPriority w:val="99"/>
    <w:semiHidden/>
    <w:unhideWhenUsed/>
    <w:rPr>
      <w:rFonts w:hint="default" w:ascii="Times New Roman" w:hAnsi="Times New Roman" w:cs="Times New Roman"/>
      <w:vertAlign w:val="superscript"/>
    </w:rPr>
  </w:style>
  <w:style w:type="numbering" w:styleId="1082" w:customStyle="1">
    <w:name w:val="Стиль22"/>
    <w:pPr>
      <w:numPr>
        <w:ilvl w:val="0"/>
        <w:numId w:val="5"/>
      </w:numPr>
    </w:pPr>
  </w:style>
  <w:style w:type="character" w:styleId="1083" w:customStyle="1">
    <w:name w:val="Заголовок 1 Знак"/>
    <w:basedOn w:val="902"/>
    <w:link w:val="893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1084" w:customStyle="1">
    <w:name w:val="Заголовок 3 Знак"/>
    <w:basedOn w:val="902"/>
    <w:link w:val="895"/>
    <w:uiPriority w:val="9"/>
    <w:semiHidden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1085">
    <w:name w:val="Hyperlink"/>
    <w:basedOn w:val="902"/>
    <w:uiPriority w:val="99"/>
    <w:unhideWhenUsed/>
    <w:rPr>
      <w:color w:val="0000ff" w:themeColor="hyperlink"/>
      <w:u w:val="single"/>
    </w:rPr>
  </w:style>
  <w:style w:type="paragraph" w:styleId="1086" w:customStyle="1">
    <w:name w:val="ConsPlusNonformat"/>
    <w:uiPriority w:val="99"/>
    <w:pPr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character" w:styleId="1087" w:customStyle="1">
    <w:name w:val="Без интервала Знак"/>
    <w:link w:val="1076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88" w:customStyle="1">
    <w:name w:val="МРСК_таблица_текст"/>
    <w:basedOn w:val="892"/>
    <w:pPr>
      <w:jc w:val="both"/>
      <w:keepNext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1089">
    <w:name w:val="Header"/>
    <w:basedOn w:val="892"/>
    <w:link w:val="109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90" w:customStyle="1">
    <w:name w:val="Верхний колонтитул Знак"/>
    <w:basedOn w:val="902"/>
    <w:link w:val="1089"/>
    <w:uiPriority w:val="99"/>
  </w:style>
  <w:style w:type="paragraph" w:styleId="1091">
    <w:name w:val="Footer"/>
    <w:basedOn w:val="892"/>
    <w:link w:val="109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92" w:customStyle="1">
    <w:name w:val="Нижний колонтитул Знак"/>
    <w:basedOn w:val="902"/>
    <w:link w:val="1091"/>
    <w:uiPriority w:val="99"/>
  </w:style>
  <w:style w:type="character" w:styleId="1093" w:customStyle="1">
    <w:name w:val="apple-converted-space"/>
    <w:basedOn w:val="902"/>
  </w:style>
  <w:style w:type="paragraph" w:styleId="1094">
    <w:name w:val="Normal (Web)"/>
    <w:basedOn w:val="892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1095">
    <w:name w:val="Table Grid"/>
    <w:basedOn w:val="90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96">
    <w:name w:val="List Paragraph"/>
    <w:basedOn w:val="892"/>
    <w:uiPriority w:val="34"/>
    <w:qFormat/>
    <w:pPr>
      <w:contextualSpacing/>
      <w:ind w:left="720"/>
    </w:pPr>
  </w:style>
  <w:style w:type="paragraph" w:styleId="1097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1098" w:customStyle="1">
    <w:name w:val="Font Style14"/>
    <w:basedOn w:val="902"/>
    <w:uiPriority w:val="99"/>
    <w:rPr>
      <w:rFonts w:ascii="Arial" w:hAnsi="Arial" w:cs="Arial"/>
      <w:b/>
      <w:bCs/>
      <w:sz w:val="18"/>
      <w:szCs w:val="18"/>
    </w:rPr>
  </w:style>
  <w:style w:type="character" w:styleId="1099" w:customStyle="1">
    <w:name w:val="js-phone-number"/>
    <w:basedOn w:val="902"/>
  </w:style>
  <w:style w:type="paragraph" w:styleId="1100">
    <w:name w:val="Balloon Text"/>
    <w:basedOn w:val="892"/>
    <w:link w:val="110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1101" w:customStyle="1">
    <w:name w:val="Текст выноски Знак"/>
    <w:basedOn w:val="902"/>
    <w:link w:val="1100"/>
    <w:uiPriority w:val="99"/>
    <w:semiHidden/>
    <w:rPr>
      <w:rFonts w:ascii="Tahoma" w:hAnsi="Tahoma" w:cs="Tahoma"/>
      <w:sz w:val="16"/>
      <w:szCs w:val="16"/>
    </w:rPr>
  </w:style>
  <w:style w:type="numbering" w:styleId="1102" w:customStyle="1">
    <w:name w:val="Нет списка1"/>
    <w:next w:val="904"/>
    <w:uiPriority w:val="99"/>
    <w:semiHidden/>
    <w:unhideWhenUsed/>
  </w:style>
  <w:style w:type="numbering" w:styleId="1103" w:customStyle="1">
    <w:name w:val="Нет списка2"/>
    <w:next w:val="904"/>
    <w:uiPriority w:val="99"/>
    <w:semiHidden/>
    <w:unhideWhenUsed/>
  </w:style>
  <w:style w:type="numbering" w:styleId="1104" w:customStyle="1">
    <w:name w:val="Нет списка11"/>
    <w:next w:val="904"/>
    <w:uiPriority w:val="99"/>
    <w:semiHidden/>
    <w:unhideWhenUsed/>
  </w:style>
  <w:style w:type="character" w:styleId="1105" w:customStyle="1">
    <w:name w:val="property_name"/>
    <w:basedOn w:val="902"/>
  </w:style>
  <w:style w:type="character" w:styleId="1106" w:customStyle="1">
    <w:name w:val="n-product-spec__name-inner"/>
    <w:basedOn w:val="902"/>
  </w:style>
  <w:style w:type="character" w:styleId="1107">
    <w:name w:val="Strong"/>
    <w:basedOn w:val="902"/>
    <w:uiPriority w:val="22"/>
    <w:qFormat/>
    <w:rPr>
      <w:b/>
      <w:bCs/>
    </w:rPr>
  </w:style>
  <w:style w:type="character" w:styleId="1108" w:customStyle="1">
    <w:name w:val="Основной текст (2)_"/>
    <w:basedOn w:val="902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1109" w:customStyle="1">
    <w:name w:val="Основной текст (2)"/>
    <w:basedOn w:val="1108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110" w:customStyle="1">
    <w:name w:val="Основной текст (2) + Полужирный"/>
    <w:basedOn w:val="1108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111" w:customStyle="1">
    <w:name w:val="Основной текст (2) + Arial Narrow;9;5 pt"/>
    <w:basedOn w:val="1108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1112" w:customStyle="1">
    <w:name w:val="Основной текст (2) + Arial Narrow;15 pt"/>
    <w:basedOn w:val="1108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1113">
    <w:name w:val="endnote text"/>
    <w:basedOn w:val="892"/>
    <w:link w:val="1114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1114" w:customStyle="1">
    <w:name w:val="Текст концевой сноски Знак"/>
    <w:basedOn w:val="902"/>
    <w:link w:val="1113"/>
    <w:uiPriority w:val="99"/>
    <w:semiHidden/>
    <w:rPr>
      <w:sz w:val="20"/>
      <w:szCs w:val="20"/>
    </w:rPr>
  </w:style>
  <w:style w:type="character" w:styleId="1115">
    <w:name w:val="endnote reference"/>
    <w:basedOn w:val="902"/>
    <w:uiPriority w:val="99"/>
    <w:semiHidden/>
    <w:unhideWhenUsed/>
    <w:rPr>
      <w:vertAlign w:val="superscript"/>
    </w:rPr>
  </w:style>
  <w:style w:type="table" w:styleId="1116" w:customStyle="1">
    <w:name w:val="Сетка таблицы11"/>
    <w:basedOn w:val="903"/>
    <w:next w:val="1095"/>
    <w:uiPriority w:val="59"/>
    <w:pPr>
      <w:spacing w:after="0" w:line="240" w:lineRule="auto"/>
    </w:pPr>
    <w:rPr>
      <w:rFonts w:eastAsia="Calibri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17" w:customStyle="1">
    <w:name w:val="Текст сноски"/>
    <w:uiPriority w:val="99"/>
    <w:pPr>
      <w:contextualSpacing w:val="0"/>
      <w:ind w:left="0" w:right="0" w:firstLine="0"/>
      <w:jc w:val="left"/>
      <w:keepLines w:val="0"/>
      <w:keepNext w:val="0"/>
      <w:pageBreakBefore w:val="0"/>
      <w:spacing w:before="12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118" w:customStyle="1">
    <w:name w:val="Знак сноски"/>
    <w:uiPriority w:val="99"/>
    <w:rPr>
      <w:rFonts w:cs="Times New Roman"/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mailto:tuvaenergo@tv.rosseti-sib.ru" TargetMode="External"/><Relationship Id="rId12" Type="http://schemas.openxmlformats.org/officeDocument/2006/relationships/hyperlink" Target="http://www.tuvaenergo.ru/buy/corruption.php" TargetMode="External"/><Relationship Id="rId13" Type="http://schemas.openxmlformats.org/officeDocument/2006/relationships/hyperlink" Target="mailto:cfd@rosseti.ru" TargetMode="External"/><Relationship Id="rId14" Type="http://schemas.openxmlformats.org/officeDocument/2006/relationships/hyperlink" Target="mailto:EvtifevaDV@tv.rosseti-sib.ru" TargetMode="External"/><Relationship Id="rId15" Type="http://schemas.openxmlformats.org/officeDocument/2006/relationships/hyperlink" Target="mailto:EvtifevaDV@tv.rosseti-sib.ru" TargetMode="External"/><Relationship Id="rId16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uva.mrsk-sib.ru" TargetMode="External"/><Relationship Id="rId18" Type="http://schemas.openxmlformats.org/officeDocument/2006/relationships/hyperlink" Target="mailto:KularAY@tv.rosseti-sib.ru" TargetMode="External"/><Relationship Id="rId19" Type="http://schemas.openxmlformats.org/officeDocument/2006/relationships/hyperlink" Target="mailto:EvtifevaDV@tv.rosseti-sib.ru" TargetMode="External"/><Relationship Id="rId20" Type="http://schemas.openxmlformats.org/officeDocument/2006/relationships/hyperlink" Target="mailto:BaturinNV@tv.rosseti-sib.ru" TargetMode="External"/><Relationship Id="rId21" Type="http://schemas.openxmlformats.org/officeDocument/2006/relationships/hyperlink" Target="mailto:EvtifevaDV@tv.rosseti-sib.ru" TargetMode="External"/><Relationship Id="rId22" Type="http://schemas.openxmlformats.org/officeDocument/2006/relationships/hyperlink" Target="mailto:BaturinNV@tv.rosseti-sib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C6A99-B99B-43DA-B59A-D6574C966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SyrchinaAV</dc:creator>
  <cp:revision>89</cp:revision>
  <dcterms:created xsi:type="dcterms:W3CDTF">2023-09-11T13:54:00Z</dcterms:created>
  <dcterms:modified xsi:type="dcterms:W3CDTF">2025-11-25T07:18:20Z</dcterms:modified>
</cp:coreProperties>
</file>